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70" w:rsidRPr="00467470" w:rsidRDefault="00467470" w:rsidP="0046747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67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Пояснительная записка к Прогнозу СЭР МО </w:t>
      </w:r>
    </w:p>
    <w:p w:rsidR="00467470" w:rsidRPr="00467470" w:rsidRDefault="00467470" w:rsidP="0046747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67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Иланский район на 2025 год плановый период 2026 – 2027 годы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сведения о муниципальном образовании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Иланский район образован в 1933 году и является административно-территориальным образованием - поселением, которое согласно Уставу Красноярского края входит в состав Красноярского края Российской Федерации.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Иланский район – это муниципальное образование, в границах которого осуществляется районное самоуправление, имеются муниципальная собственность, местный бюджет.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Административным центром муниципального образования «Иланский район» является город Иланский.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Территорию района составляют все земли в его границах, независимо от форм собственности и целевого назначения этих земель. Площадь муниципального образования составляет 375035 га. В состав района входят 10 территорий: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город Иланский;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Далайский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Ельниковский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Карапсельский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Кучердаевский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Новогородский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Новониколаевский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Новопокровского сельсовета;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Соколовский сельсовет;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Южно - Александровский сельсовет.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Иланский район находится в восточном направлении от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. Красноярска. Расстояние  до  краевого  центра – 279 км. Рельеф – лесостепной.  Преобладающие  почвы – чернозем.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Иланский  район  имеет  развитую    сеть автомобильных дорог  с  твердым  покрытием  и  связан  с  соседними  районами.  Через  территорию    района  проходит  автомагистраль  «Байкал» и Красноярск –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Богучаны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.  Через  район  проходит  железная  дорога. Ст.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Иланская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 является  узловой  и  входит  в  состав  Красноярской  железной  дороги. Сегодня железнодорожные предприятия узла станции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Иланская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>, являясь филиалами ОАО «Красноярская железная дорога», играют основную роль в экономике района.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Промышленность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Промышленность Иланского района представлена основными предприятиями: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Вагонное ремонтное депо "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Иланская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" обособленное структурное подразделение  акционерного общества  "Вагонная ремонтная  компания - 1"  (специализируется на проведении ремонта грузовых вагонов, включая деповской и капитальный ремонт вагонов, ремонт запасных частей, а так же внепланового текущего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отцепочного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ремонта.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Также оказывает услуги по обмывке и пропарке железнодорожных цистерн);</w:t>
      </w:r>
      <w:proofErr w:type="gramEnd"/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Ремонтное локомотивное деп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о ООО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"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ТМХ-Сервис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>" (специализируется на проведении ремонта тягового подвижного состава и капитального ремонта колесных пар, ремонта запасных частей);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Вагоно-колесная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мастерская станции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Иланская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Красноярской ж.д. (специализируется на проведении  капитального, среднего и текущего ремонта колёсных пар, ремонт и изготовление запасных частей);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Красноярская дирекция по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тепловодоснабжению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- структурное подразделение Центральной дирекции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тепловодоснабжения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- филиала ОАО «РЖД».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        Большую долю в объеме отгруженной продукции организаций (по хозяйственным видам деятельности) занимает объем отгруженных товаров собственного производства, выполненных работ и услуг собственными силами организаций  Раздел С - "Обрабатывающие производства"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В 2023 г. объем отгруженных товаров собственного производства, выполненных работ и услуг собственными силами организаций по разделу С - "Обрабатывающие производства"  составил 5088604,0 тыс.руб., что на 1522871,0 тыс.руб. больше чем в 2022 г. В прогнозном периоде с 2025 г. по 2027 г. ожидается незначительное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увелечение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это показателя. Планируется, что в 2027 г. показатель составит 6161500,0 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>уб.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6600"/>
          <w:sz w:val="28"/>
          <w:szCs w:val="28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Красноярская дирекция по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>тепловодоснабжению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структурное подразделение Центральной дирекции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>тепловодоснабжения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филиала ОАО «РЖД» оказывает жилищные и коммунальные услуги.  В 2023 г.</w:t>
      </w:r>
      <w:r w:rsidRPr="00467470">
        <w:rPr>
          <w:rFonts w:ascii="Times New Roman CYR" w:hAnsi="Times New Roman CYR" w:cs="Times New Roman CYR"/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организаций по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разделу D - "Обеспечение электрической энергией, газом и паром; кондиционирование воздуха" составил 148672,0 тыс. руб., </w:t>
      </w:r>
      <w:r w:rsidRPr="00467470">
        <w:rPr>
          <w:rFonts w:ascii="Times New Roman CYR" w:hAnsi="Times New Roman CYR" w:cs="Times New Roman CYR"/>
          <w:sz w:val="28"/>
          <w:szCs w:val="28"/>
        </w:rPr>
        <w:t>что на 62298,0 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>уб. меньше чем в 2022 г.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  В 2024 г. </w:t>
      </w:r>
      <w:r w:rsidRPr="00467470">
        <w:rPr>
          <w:rFonts w:ascii="Times New Roman CYR" w:hAnsi="Times New Roman CYR" w:cs="Times New Roman CYR"/>
          <w:sz w:val="28"/>
          <w:szCs w:val="28"/>
        </w:rPr>
        <w:t>ожидается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увеличение объема оказанных услуг на 4,5 % и составит 155362,0 тыс. руб. В 2025 г. планируется увеличить объем услуг до 166859,0 тыс. руб., в 2026 г.  до 176036,0 тыс. руб., в 2027 г. – 183957,0 тыс. руб.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      Львиную долю объема отгруженных товаров собственного производства, выполненных работ и услуг собственными силами организаций по Разделу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 xml:space="preserve"> С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467470">
        <w:rPr>
          <w:rFonts w:ascii="Times New Roman CYR" w:hAnsi="Times New Roman CYR" w:cs="Times New Roman CYR"/>
          <w:sz w:val="28"/>
          <w:szCs w:val="28"/>
        </w:rPr>
        <w:lastRenderedPageBreak/>
        <w:t>"Обрабатывающие производства" занимают железнодорожные организации: Вагонное ремонтное депо; Ремонтное локомотивное депо ООО "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ТМХ-Сервис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Вагоно-колесная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мастерская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467470">
        <w:rPr>
          <w:rFonts w:ascii="Times New Roman CYR" w:hAnsi="Times New Roman CYR" w:cs="Times New Roman CYR"/>
          <w:sz w:val="28"/>
          <w:szCs w:val="28"/>
        </w:rPr>
        <w:t xml:space="preserve">В соответствии с планами ОАО «РЖД», все эти организации будут работать и в дальнейшем, в том же объеме, выполняя работы и оказывая услуги железнодорожным организациям России. 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Сельское хозяйство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 Растениеводство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 xml:space="preserve">Основными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сельхозтоваропроизводителями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>, занимающиеся растениеводством на территории Иланского района являются: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ИП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Шилин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, КХ «Пахарь», ИП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Курьянович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, ИП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Симашкевич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, ИП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Беляшов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А.А., ИП Корольков С.Г., ИП Сапрыкина Т.Г.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В 2023 году г. доля прибыльных сельскохозяйственных организаций составила 0 %., так как территории Иланского района отсутствуют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сельскохозяйственный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предприятия, осуществляющие деятельности в области сельского хозяйства. В период до 2027 г. доля прибыльных предприятий составит 0 %.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В 2023 году общая посевная площадь сельскохозяйственных культур в хозяйствах всех категорий составила 19882 тыс.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 xml:space="preserve"> в том числе площадь зерновых и зернобобовых культур составила 13930 га. Посев технических культур (рапс) в 2023 г. составил 3532 га. Сельскохозяйственные товаропроизводители района в 2023г. обрабатывали посевные площади в размере </w:t>
      </w:r>
      <w:r w:rsidRPr="00467470">
        <w:rPr>
          <w:rFonts w:ascii="Times New Roman CYR" w:hAnsi="Times New Roman CYR" w:cs="Times New Roman CYR"/>
          <w:color w:val="000000"/>
          <w:sz w:val="24"/>
          <w:szCs w:val="24"/>
        </w:rPr>
        <w:t>32878</w:t>
      </w:r>
      <w:r w:rsidRPr="00467470">
        <w:rPr>
          <w:rFonts w:ascii="Times New Roman CYR" w:hAnsi="Times New Roman CYR" w:cs="Times New Roman CYR"/>
          <w:sz w:val="28"/>
          <w:szCs w:val="28"/>
        </w:rPr>
        <w:t xml:space="preserve"> га.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С 2024 года произошло уменьшение посевных площадей сельскохозяйственных культур в хозяйствах всех категорий и составило 18623 га. Уменьшение площади связано с приостановление деятельности среднего предприятия СХПК «имени VII съезда Советов».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 Объем производства зерна в хозяйствах всех категорий по району в 2023 году составил 27,5 тыс. тонн (в весе после доработки), в 2024  г. ожидается повышение до 27,5 тыс. тонн, в 2025 г. - увеличение до 30,5 тыс. тонн, в 2026 г-31,5 г., в 2027г. – увеличение до 32,8 тыс. тонн. Урожайность зерновых культур по району в 2023 составила 20,1 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/га, урожайность на 2026 год планируется в размере 27,8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/га.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Картофель обрабатывается на площади 1193 га. Увеличение посевных площадей не планируется. Производство картофеля в хозяйствах всех категорий  будет увеличиваться за счет увеличения урожайности.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Валовый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сбор  картофеля в 2023 году составляет 7975,59 тонн, в 2024 году планируется увеличение производства на 2%., далее до 2027 г. увеличение в среднем на 21,1 %. и в 2027 году производство картофеля составить 9659 тонн.</w:t>
      </w:r>
    </w:p>
    <w:p w:rsid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3.2 Животноводство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 xml:space="preserve">Основными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сельхозтоваропроизводителями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района, занимающиеся животноводством являются КХ «Пахарь» ИП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Семенюк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,  ИП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Тулин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Д.Н., ИП глава КФХ Сапрыкина Т.Г.</w:t>
      </w:r>
      <w:proofErr w:type="gramEnd"/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 xml:space="preserve">Поголовье КРС в хозяйствах всех категорий в 2023 году составило 2246 голов, в том числе коров –904, свиней – 1311, овец, коз –641.  В 2024 году ожидаемое поголовье КРС составит 2620 голов, поголовье свиней в хозяйствах всех категорий в 2024г. увеличится на 179 голов. Ежегодно поголовье КРС будет увеличиваться в среднем на 3% и в 2027 г. составит 3442 голов. Производство молока в хозяйствах всех категорий в 2023 году составило 3467 тонн. В 2027 году производство молока в хозяйствах всех категорий составит –5695 тонн.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Производство скота и птицы (в живом весе) в 2023 году в хозяйствах всех категорий составило 859 тонн, в 2024 году планируется увеличение производства и оно составит 1260 тонн. Ежегодно планируется увеличение производства и в 2027 году производство скота и птицы составит 1451 тонны. Рост производства молока и производства скота и птицы на убой будет связано с расширением производства и реализацией инвестиционных проектов.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произведенных товаров, выполненных работ и услуг </w:t>
      </w:r>
      <w:r w:rsidRPr="00467470">
        <w:rPr>
          <w:rFonts w:ascii="Times New Roman CYR" w:hAnsi="Times New Roman CYR" w:cs="Times New Roman CYR"/>
          <w:sz w:val="28"/>
          <w:szCs w:val="28"/>
        </w:rPr>
        <w:t xml:space="preserve">в хозяйствах всех категорий составляет 1249384,7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в 2022 году, планируется увеличение к 2027 году до 1628845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</w:rPr>
        <w:t xml:space="preserve"> .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>Развитие сельского хозяйства на период до 2027 года будет связано с ростом посевных площадей, увеличением производства зерна, для этого в районе есть все предпосылки: неиспользуемые свободные земли, пашня, желание бизнеса заниматься сельскохозяйственной деятельностью.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Продолжаться обновление сельскохозяйственной техники.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Строительство</w:t>
      </w:r>
    </w:p>
    <w:p w:rsidR="00467470" w:rsidRPr="00467470" w:rsidRDefault="00467470" w:rsidP="004674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470">
        <w:rPr>
          <w:rFonts w:ascii="Times New Roman CYR" w:hAnsi="Times New Roman CYR" w:cs="Times New Roman CYR"/>
          <w:sz w:val="28"/>
          <w:szCs w:val="28"/>
        </w:rPr>
        <w:t>Гражданское строительство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2023 году  на территории Иланского района не были введены социально значимые объекты.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2024-2027 годах ввод социально значимых объектов не планируется.</w:t>
      </w:r>
    </w:p>
    <w:p w:rsidR="00467470" w:rsidRPr="005D77F2" w:rsidRDefault="00467470" w:rsidP="005D77F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Отсутствие подготовленных участков с инфраструктурой на территории района является проблемой при выборе места под строительство новых домов для развития жилой застройки. Так же возникают сложности с выбором подрядной организации – застройщика, а именно на территории района нет лицензированных строительных организаций, а невысокая стоимость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квадратного метра жилья не привлекает опытных и компетентных подрядчиков из других (зачастую территориально отдаленных) районов.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4.1. Жилищное строительство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Основную массу строительства на территории Иланского района составляют объекты индивидуального жилищного строительства, возводимые населением за счет собственных средств, а так же коммерческие объекты. Социально значимые объекты имеют небольшую долю в объеме строительства, так как строятся в основном за счет средств бюджетов разных уровней.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За 2022 год введено в эксплуатацию </w:t>
      </w:r>
      <w:r w:rsidRPr="00467470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30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жилых объектов, то есть ИЖС площадью </w:t>
      </w:r>
      <w:r w:rsidRPr="00467470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4037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кв.м. жилой площади (по данным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росреестра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).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За 2023 год введено в эксплуатацию </w:t>
      </w:r>
      <w:r w:rsidRPr="00467470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29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жилых объектов, то есть ИЖС площадью </w:t>
      </w:r>
      <w:r w:rsidRPr="00467470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3230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кв.м. жилой площади (по данным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росреестра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).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В 2024 году планируемый ввод жилья – 3215 кв.м., в том числе построенного населением –  3215 кв.м. 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2025 году планируемый ввод жилья - 3205 кв.м., в том числе построенного населением – 3205 кв.м.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2026 году планируемый ввод жилья вариант - 3210 кв.м., в том числе построенного населением – 3210 кв.м.</w:t>
      </w:r>
    </w:p>
    <w:p w:rsidR="00467470" w:rsidRPr="00467470" w:rsidRDefault="00467470" w:rsidP="0046747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2027 году планируемый ввод жилья вариант - 3220 кв.м., в том числе построе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нного населением – 3220 кв.м.  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5. Инвестиции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Устойчивое состояние и успешное развитие района во многом зависит от инвестиционной активности, сложившейся на территории района. На сегодняшний день одной из наиболее важных задач является привлечение инвестиций в экономику района.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Объем инвестиций в основной капитал (за счет всех источников финансирования) в 2023 году по сравнению с 2022 годом уменьшился на 1097306,0 тыс. руб. Темп роста составил 12,63 % в действующих ценах и 11,38 % в сопоставимых ценах. Уменьшение в наибольшей степени связано с уменьшением объема инвестиций по разделу «Образование» – на 1088249 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.р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уб. к уровню 2022 года.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В отчетном периоде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инвестиции распределились по следующим видам деятельности: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– «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Образование»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(15,94 % удельный вес от общего объёма)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–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 25294,0 тыс. руб. (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2022 год – 1113543,0 тыс. руб.,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темп роста составил 2,05</w:t>
      </w:r>
      <w:r w:rsidRPr="00467470">
        <w:rPr>
          <w:rFonts w:ascii="Times New Roman CYR" w:hAnsi="Times New Roman CYR" w:cs="Times New Roman CYR"/>
          <w:i/>
          <w:iCs/>
          <w:color w:val="000000"/>
          <w:sz w:val="28"/>
          <w:szCs w:val="28"/>
          <w:u w:color="FF0000"/>
        </w:rPr>
        <w:t> 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% к уровню 2022 года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сопоставимых ценах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). Значительное уменьшение связано с окончанием проекта </w:t>
      </w:r>
      <w:r w:rsidRPr="00467470">
        <w:rPr>
          <w:rFonts w:ascii="Times New Roman CYR" w:hAnsi="Times New Roman CYR" w:cs="Times New Roman CYR"/>
          <w:color w:val="000000"/>
          <w:spacing w:val="-6"/>
          <w:sz w:val="28"/>
          <w:szCs w:val="28"/>
          <w:u w:color="FF0000"/>
        </w:rPr>
        <w:t>по строительству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общеобразовательной школы в городе Иланский на 600 мест.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– «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Деятельность в области культуры, спорта, организации досуга и развлечений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>»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(7,39% удельный вес от общего объёма)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–  11733,0 тыс. руб. (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 xml:space="preserve">2022 год – 12961,00 тыс. </w:t>
      </w:r>
      <w:proofErr w:type="spellStart"/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руб.</w:t>
      </w:r>
      <w:proofErr w:type="gramStart"/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,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т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емп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роста составил 81,5 % к уровню 2022 года в сопоставимых ценах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). </w:t>
      </w:r>
      <w:r w:rsidRPr="00467470">
        <w:rPr>
          <w:rFonts w:ascii="Cambria" w:hAnsi="Cambria" w:cs="Cambria"/>
          <w:spacing w:val="-1"/>
          <w:sz w:val="28"/>
          <w:szCs w:val="28"/>
          <w:u w:color="FF0000"/>
        </w:rPr>
        <w:t>Уменьшение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u w:color="FF0000"/>
        </w:rPr>
        <w:t xml:space="preserve"> инвестиций связано с </w:t>
      </w:r>
      <w:r w:rsidRPr="00467470">
        <w:rPr>
          <w:rFonts w:ascii="Cambria" w:hAnsi="Cambria" w:cs="Cambria"/>
          <w:spacing w:val="-1"/>
          <w:sz w:val="28"/>
          <w:szCs w:val="28"/>
          <w:u w:color="FF0000"/>
        </w:rPr>
        <w:t>ходом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u w:color="FF0000"/>
        </w:rPr>
        <w:t xml:space="preserve"> строительных работ по возведению крытой быстровозводимой  спортивной площадки.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– «Сельское, лесное хозяйство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>»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(23,77% удельный вес от общего объёма) – 37703 тыс. руб. (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 xml:space="preserve">2022 год – 13346 </w:t>
      </w:r>
      <w:r w:rsidRPr="00467470">
        <w:rPr>
          <w:rFonts w:ascii="Cambria" w:hAnsi="Cambria" w:cs="Cambria"/>
          <w:color w:val="000000"/>
          <w:spacing w:val="-1"/>
          <w:sz w:val="28"/>
          <w:szCs w:val="28"/>
          <w:u w:color="FF0000"/>
        </w:rPr>
        <w:t>тыс.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 xml:space="preserve"> руб.,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темп роста составил 254,51 % к уровню 2022 года в сопоставимых ценах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). В 2023 году </w:t>
      </w:r>
      <w:r w:rsidRPr="00467470">
        <w:rPr>
          <w:rFonts w:ascii="Cambria" w:hAnsi="Cambria" w:cs="Cambria"/>
          <w:spacing w:val="-1"/>
          <w:sz w:val="28"/>
          <w:szCs w:val="28"/>
          <w:highlight w:val="white"/>
          <w:u w:color="FF0000"/>
        </w:rPr>
        <w:t xml:space="preserve">увеличились 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 инвестиции </w:t>
      </w:r>
      <w:r w:rsidRPr="00467470">
        <w:rPr>
          <w:rFonts w:ascii="Cambria" w:hAnsi="Cambria" w:cs="Cambria"/>
          <w:spacing w:val="-1"/>
          <w:sz w:val="28"/>
          <w:szCs w:val="28"/>
          <w:u w:color="FF0000"/>
        </w:rPr>
        <w:t>за счет продолжения реализации проекта Сапрыкина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u w:color="FF0000"/>
        </w:rPr>
        <w:t xml:space="preserve">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– «Торговля розничная, кроме торговли автотранспортными средствами и мотоциклами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»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(16,71 % удельный вес от общего объёма)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– 26509 тыс. руб. 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>(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2022 год – 15401 тыс. руб.,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темп роста составил 155,01 % к уровню 2022 года в сопоставимых ценах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).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Открылся большой строительный магазин, произведены реконструкции зданий по сдачу в аренду торговым точкам. Произведен большой капитальный ремонт здания под переезд магазина «Светофор».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– «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Транспортировка и хранение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>»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(10,67 % удельный вес от общего объёма)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–16932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тыс. руб.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(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2022 год – 21561 тыс. руб.,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темп роста составил 70,74% к уровню 2022 года в сопоставимых ценах</w:t>
      </w:r>
      <w:r w:rsidRPr="00467470">
        <w:rPr>
          <w:rFonts w:ascii="Times New Roman CYR" w:hAnsi="Times New Roman CYR" w:cs="Times New Roman CYR"/>
          <w:spacing w:val="-1"/>
          <w:sz w:val="28"/>
          <w:szCs w:val="28"/>
          <w:highlight w:val="white"/>
          <w:u w:color="FF0000"/>
        </w:rPr>
        <w:t xml:space="preserve">). Произведены текущие ремонтные работы, больших вложений не было.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Показатели по другим видам деятельность изменились незначительно.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В 2024 году запланированы средства на первый этап строительства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путепровода через Транссибирскую железнодорожную магистраль на станции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Иланская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г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 Иланский в Иланском районе Красноярского края в сумме 150000 тыс. руб. Срок реализации проекта – 3 года. В 2025 году запланировано финансирование в размере 688230,2 тыс. руб. В 2026 году на окончание строительства планируется затратить 650000 тыс. рублей.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Также в 2024 году продолжает  проект по строительству быстровозводимой крытой площадки в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г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 Иланский на сумму 100000 тыс. руб.,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рамках благоустройства общественного пространства «Площадка для культурного отдыха» микрорайон за оз. Пульсометр будет затрачено 5739,18 тыс. рублей.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Также в 2024 году планируются проекты по развитию и повышению качества работы муниципальных учреждений: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-Создание комфортной и безопасной среды в МБУК «Дворец культуры железнодорожников Иланского района Красноярского края» капитальный ремонт кровли на сумму 9589,84 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.р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ублей;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 Создание комфортной и безопасной среды в МБУК «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Межпоселенческий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Дом культуры Иланского района Красноярского края» замена оконных блоков, дверей; капитальный ремонт водосточной системы и системы теплоснабжения на сумму 5221,70 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.р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ублей;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Продолжат реализацию своих проектов сельскохозяйственные предприятия: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– ИП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Курьянович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по реконструкции зерносушильного комплекса на сумму 8625 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.р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ублей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– КФХ «Пахарь»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( 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проект по строительству здания для содержания КРС за счет собственных средств на сумму 4500,00 тыс. рублей).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– ИП Сапрыкина (продолжена реализация проекта на сумму 45512,0 тыс. рублей за счет собственных средств).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рамках программы «Комфортная городская среда» в 2025 году будет благоустроена придомовая территория многоквартирного жилого дома по ул.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Лекомских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д. 11,  в сумме 2510,65 тыс. рублей.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2024 году планируется уменьшение объема инвестиций в основной капитал в расчете на 1 человека населения, в связи с уменьшением  объема инвестиций внебюджетных средств и не значительным увеличением среднегодовой численности населения.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2025-2026 годах объем инвестиций в основной капитал в расчете на 1 человека будет снижаться за счет снижения внебюджетных средств.</w:t>
      </w:r>
    </w:p>
    <w:p w:rsidR="00467470" w:rsidRPr="00467470" w:rsidRDefault="00467470" w:rsidP="0046747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Расчет объема инвестиций в основной капитал (за исключением бюджетных средств) в расчете на 1 человека</w:t>
      </w:r>
    </w:p>
    <w:tbl>
      <w:tblPr>
        <w:tblW w:w="0" w:type="auto"/>
        <w:tblInd w:w="79" w:type="dxa"/>
        <w:tblLayout w:type="fixed"/>
        <w:tblLook w:val="0000"/>
      </w:tblPr>
      <w:tblGrid>
        <w:gridCol w:w="3573"/>
        <w:gridCol w:w="1559"/>
        <w:gridCol w:w="1134"/>
        <w:gridCol w:w="1134"/>
        <w:gridCol w:w="1276"/>
        <w:gridCol w:w="1262"/>
      </w:tblGrid>
      <w:tr w:rsidR="00467470" w:rsidRPr="00467470">
        <w:trPr>
          <w:trHeight w:val="293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467470" w:rsidRPr="00467470">
        <w:trPr>
          <w:trHeight w:val="609"/>
        </w:trPr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2022</w:t>
            </w: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2023 </w:t>
            </w:r>
          </w:p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2024</w:t>
            </w:r>
          </w:p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2026</w:t>
            </w:r>
          </w:p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</w:tr>
      <w:tr w:rsidR="00467470" w:rsidRPr="00467470">
        <w:trPr>
          <w:trHeight w:val="130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1255948,0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158642,0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u w:color="FF0000"/>
              </w:rPr>
              <w:t>556860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753906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719170</w:t>
            </w:r>
          </w:p>
        </w:tc>
      </w:tr>
      <w:tr w:rsidR="00467470" w:rsidRPr="00467470">
        <w:trPr>
          <w:trHeight w:val="563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748,72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351,02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102,34</w:t>
            </w:r>
          </w:p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100,84</w:t>
            </w:r>
          </w:p>
        </w:tc>
      </w:tr>
      <w:tr w:rsidR="00467470" w:rsidRPr="00467470">
        <w:trPr>
          <w:trHeight w:val="2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  <w:t>1.2. Индекс-дефлятор,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107,5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106,4</w:t>
            </w:r>
          </w:p>
        </w:tc>
      </w:tr>
      <w:tr w:rsidR="00467470" w:rsidRPr="00467470">
        <w:trPr>
          <w:trHeight w:val="100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637,75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11,38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320,56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95,20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color="FF0000"/>
              </w:rPr>
              <w:t>94,78</w:t>
            </w:r>
          </w:p>
        </w:tc>
      </w:tr>
      <w:tr w:rsidR="00467470" w:rsidRPr="00467470">
        <w:trPr>
          <w:trHeight w:val="609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lastRenderedPageBreak/>
              <w:t>2. Инвестиции в основной капитал за счет бюджетных средств,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1190342,00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63225,00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526860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732136,30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698022</w:t>
            </w:r>
          </w:p>
        </w:tc>
      </w:tr>
      <w:tr w:rsidR="00467470" w:rsidRPr="00467470">
        <w:trPr>
          <w:trHeight w:val="609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65606,00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95417,00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21769,80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21148</w:t>
            </w:r>
          </w:p>
        </w:tc>
      </w:tr>
      <w:tr w:rsidR="00467470" w:rsidRPr="00467470">
        <w:trPr>
          <w:trHeight w:val="913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4. </w:t>
            </w:r>
            <w:proofErr w:type="spellStart"/>
            <w:r w:rsidRPr="00467470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Среднегодоваячисленность</w:t>
            </w:r>
            <w:proofErr w:type="spellEnd"/>
            <w:r w:rsidRPr="00467470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населения муниципального, городского округа (муниципального района),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23135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22741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21802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21321</w:t>
            </w:r>
          </w:p>
        </w:tc>
      </w:tr>
      <w:tr w:rsidR="00467470" w:rsidRPr="00467470">
        <w:trPr>
          <w:trHeight w:val="1023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b/>
                <w:bCs/>
                <w:u w:color="FF0000"/>
              </w:rPr>
              <w:t>2835.79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4195.81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998,52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70" w:rsidRPr="00467470" w:rsidRDefault="00467470" w:rsidP="0046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467470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991,89</w:t>
            </w:r>
          </w:p>
        </w:tc>
      </w:tr>
    </w:tbl>
    <w:p w:rsidR="005D77F2" w:rsidRPr="00467470" w:rsidRDefault="005D77F2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6. Транспорт и связь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Протяженность улично-дорожной сети Иланского района в 2023 году составила – 263,5км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., 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2022 году составляла – 263,1км., увеличение протяженности на 0,4 км. в связи с принятием на баланс новых объектов улично-дорожной сети, из них с твердым покрытием – 212,9  км., и усовершенствованным покрытием протяженность составила – 47 км. Общая протяженность дорог, не отвечающих нормативным требованиям за 2023 год – 134,0 км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., 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за 2022 год – 136,0, показатель уменьшился на 2,0 км.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 автомобильных дорогах общего пользования расположено 71 искусственных сооружений, из них 12 мостов, 59 водопропускных труб.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рамках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подпрограммы «Дороги Красноярья» являющейся составляющей государственной программы Красноярского края «Развитие транспортной системы» в 2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>023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году бюджету Иланского района предоставлена субсидия дорожного фонда края на капитальный ремонт, ремонт и содержание автомобильных дорог местного значения городских округов, городских и сельских поселений в размере 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 xml:space="preserve">14 389,4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рублей. 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proofErr w:type="gramEnd"/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За 2023 год отремонтировано дорог 1,889 км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.: 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том числе капитальный ремонт 1,186 км., текущий ремонт 0,703км., в 2022 году отремонтировано 5,301 км, в том числе капитальный ремонт 4,143 км., текущий ремонт 1,158км., по сравнению с 2022 годом отремонтированных дорог меньше на 3,412 км.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Также из краевого бюджета бюджету Иланского района на реализацию мероприятий, направленных на повышение безопасности дорожного движения в 2023 году, была выделена субсидия в размере 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>968 028,6</w:t>
      </w:r>
      <w:r w:rsidRPr="00467470">
        <w:rPr>
          <w:rFonts w:ascii="Times New Roman" w:hAnsi="Times New Roman" w:cs="Times New Roman"/>
          <w:color w:val="000000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рублей выделенные средства были направлены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на</w:t>
      </w:r>
      <w:proofErr w:type="gramEnd"/>
      <w:r w:rsidRPr="00467470">
        <w:rPr>
          <w:rFonts w:ascii="Times New Roman" w:hAnsi="Times New Roman" w:cs="Times New Roman"/>
          <w:sz w:val="28"/>
          <w:szCs w:val="28"/>
          <w:u w:color="FF0000"/>
        </w:rPr>
        <w:t>: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67470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-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установку пешеходного ограждения в количестве 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>108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метров</w:t>
      </w:r>
      <w:r w:rsidRPr="00467470">
        <w:rPr>
          <w:rFonts w:ascii="Times New Roman" w:hAnsi="Times New Roman" w:cs="Times New Roman"/>
          <w:sz w:val="28"/>
          <w:szCs w:val="28"/>
          <w:u w:color="FF0000"/>
        </w:rPr>
        <w:t>;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территории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Иланского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района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регулярные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перевозки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автобусными маршрутами общего пользования осуществляет Государственное предприятие Красноярского края «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Иланское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автотранспортное предприятие» (далее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Иланское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АТП). Маршрутная сеть пассажирских перевозок охватывает все населенные пункты района. Количество автобусных маршрутов на территории Иланского района – 14 ед.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Количество технически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исправных транспортных средств муниципальной формы собственности, предназначенных для обслуживания маршрутов общего пользования услуг в 2022 году составило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- 26 ед.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7"/>
        <w:jc w:val="both"/>
        <w:rPr>
          <w:rFonts w:ascii="Calibri" w:hAnsi="Calibri" w:cs="Calibri"/>
          <w:color w:val="1A1A1A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Программой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пассажироперевозок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2022 году предусмотрено 35530 рейсов,</w:t>
      </w:r>
      <w:r w:rsidRPr="00467470">
        <w:rPr>
          <w:rFonts w:ascii="Calibri" w:hAnsi="Calibri" w:cs="Calibri"/>
          <w:color w:val="1A1A1A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том числе 25291 рейсов внутригородского сообщения,</w:t>
      </w:r>
      <w:r w:rsidRPr="00467470">
        <w:rPr>
          <w:rFonts w:ascii="Calibri" w:hAnsi="Calibri" w:cs="Calibri"/>
          <w:color w:val="1A1A1A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10239 рейсов пригородного сообщения, в 2023 году предусмотрено 28087 рейсов,</w:t>
      </w:r>
      <w:r w:rsidRPr="00467470">
        <w:rPr>
          <w:rFonts w:ascii="Calibri" w:hAnsi="Calibri" w:cs="Calibri"/>
          <w:color w:val="1A1A1A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том числе 17922 рейса внутригородского сообщения,</w:t>
      </w:r>
      <w:r w:rsidRPr="00467470">
        <w:rPr>
          <w:rFonts w:ascii="Calibri" w:hAnsi="Calibri" w:cs="Calibri"/>
          <w:color w:val="1A1A1A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10165 рейсов пригородного сообщения. Фактическое выполнение плана составило: в 2022 и в 2023 -100%.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Количество перевезенных пассажиров в 2023 году составило: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- 68,550 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.ч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еловек.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Увеличение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пассажироперевозок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по сравнению с 2022 годом произошло в связи с увеличением количества пассажиров в общественном транспорте. После снятия ограничений, в связи с пандемией, вырос спрос на пользование общественным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транспотром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Грузоперевозки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территории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района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  <w:lang w:val="en-US"/>
        </w:rPr>
        <w:t> 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автотранспортом осуществляются частными предприятиями</w:t>
      </w:r>
      <w:r w:rsidRPr="00467470">
        <w:rPr>
          <w:rFonts w:ascii="Calibri" w:hAnsi="Calibri" w:cs="Calibri"/>
          <w:color w:val="000000"/>
          <w:sz w:val="28"/>
          <w:szCs w:val="28"/>
          <w:u w:color="FF0000"/>
        </w:rPr>
        <w:t>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123204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7. Малое и среднее предпринимательство</w:t>
      </w:r>
    </w:p>
    <w:p w:rsidR="00467470" w:rsidRPr="00467470" w:rsidRDefault="00467470" w:rsidP="00467470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>Деятельность субъектов малого предпринимательства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</w:t>
      </w:r>
      <w:r w:rsidRPr="00467470">
        <w:rPr>
          <w:rFonts w:ascii="Times New Roman CYR" w:hAnsi="Times New Roman CYR" w:cs="Times New Roman CYR"/>
          <w:color w:val="800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Иланском районе в 2023 году действовало 51  малых и средних организаций, с общей численностью работающих 957 человек включая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микропредприятия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, 322 индивидуальных предпринимателя, с общей численностью работающих 834 человек. 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2024 году ожидается, что число малых и средних организаций увеличится на 1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ед.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,и</w:t>
      </w:r>
      <w:proofErr w:type="spellEnd"/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составит 52,с общей численностью работающих 959 человек, количество индивидуальных предпринимателей и число занятых у индивидуальных предпринимателей в 2024 году составит 324  и 837 человек соответственно.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 2025 году планируется, что будут действовать 53  малых и средних организаций, с общей численностью работающих 960 человек число индивидуальных предпринимателей - 326, с числом работников 839 человек.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2026 году планируется  54 малых и средних организаций, с общей численностью работающих 961 человек,  при этом индивидуальных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 xml:space="preserve">предпринимателей будет зарегистрировано 328, с числом работников 840 человек.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2027 году планируется  54 малых и средних организаций, с общей численностью работающих 961 человек,  при этом индивидуальных предпринимателей будет зарегистрировано 328, с числом работников 842 человек. Положительная динамика в прогнозном периоде</w:t>
      </w:r>
      <w:r w:rsidRPr="00467470"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планируется за счет реализации мероприятий направленных на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поддержку субъектов малого предпринимательства.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Среднемесячная заработная плата работников малых предприятий в 2023 году составила 24560,65 руб., что больше чем в 2023 году на 19,57 %.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Приоритетными направлениями развития малого предпринимательства в районе являются: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производство и переработка сельскохозяйственной продукции;  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лесное хозяйство и создание предприятий по углубленной переработке древесины;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8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оказание социально значимых бытовых и потребительских услуг населению.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поддержки и развития малого и среднего предпринимательства на территории Иланского района действует муниципальная подпрограмма «Развитие малого и среднего предпринимательства на территории Иланского района» (постановление администрации Иланского района от 07.10.2013 № 970-п). Мероприятиями подпрограммы предусмотрена финансовая, информационная и консультационная поддержка субъектов малого и среднего предпринимательства на территории Иланского района. В 2023 году в течение всего периода  проводилась информационно-разъяснительная работа с действующими  предпринимателями, гражданами, о видах государственной и муниципальной поддержки малого бизнеса, об изменениях в законодательстве, касающихся ведения предпринимательской деятельности. 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Поддержка субъектов малого и среднего предпринимательства  остается одним из важных приоритетных направлений работы администрации района.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9. Бюджет муниципального образования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Консолидированный бюджет муниципального образования «Иланский район» состоит из бюджетов 9 сельских муниципальных образований, бюджета города «Иланский» и районного бюджета.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Каждое муниципальное образование имеет собственный бюджет, который утверждается представительным органом местного самоуправления.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Доходы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 течение 2023 года в консолидированный бюджет Иланского района поступило доходов с учетом межбюджетных трансфертов из бюджетов всех уровней 1282219,0 тыс. рублей, что меньше плана (1293214,8 тыс. рублей) на 10 995,8 тыс. рублей или  99,2 %. </w:t>
      </w:r>
    </w:p>
    <w:p w:rsidR="00467470" w:rsidRPr="00123204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     Исполнение по собственным доходам за 2023 год составило 101,3 %, в том числе по налоговым доходам 97,6 %, по неналоговым доходам 105,0 %. 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  <w:t>РАСХОДЫ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proofErr w:type="spellStart"/>
      <w:r w:rsidRPr="00467470">
        <w:rPr>
          <w:rFonts w:ascii="Times New Roman CYR" w:hAnsi="Times New Roman CYR" w:cs="Times New Roman CYR"/>
          <w:color w:val="FFFFFF"/>
          <w:sz w:val="28"/>
          <w:szCs w:val="28"/>
          <w:highlight w:val="white"/>
          <w:u w:color="FF0000"/>
        </w:rPr>
        <w:t>Рас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Расходы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консолидированного бюджета Иланского района за 2023 год составили </w:t>
      </w:r>
      <w:r w:rsidRPr="00467470">
        <w:rPr>
          <w:rFonts w:ascii="Arial CYR" w:hAnsi="Arial CYR" w:cs="Arial CYR"/>
          <w:sz w:val="24"/>
          <w:szCs w:val="24"/>
          <w:u w:color="FF0000"/>
        </w:rPr>
        <w:t xml:space="preserve">1287115,3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тыс. рублей. Наибольший удельный вес в сумме расходов занимают расходы на образование – 58,0 % (</w:t>
      </w:r>
      <w:r w:rsidRPr="00467470">
        <w:rPr>
          <w:rFonts w:ascii="Arial CYR" w:hAnsi="Arial CYR" w:cs="Arial CYR"/>
          <w:sz w:val="24"/>
          <w:szCs w:val="24"/>
          <w:u w:color="FF0000"/>
        </w:rPr>
        <w:t xml:space="preserve">746789,36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тыс. рублей).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Расходная часть бюджета выполнена на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98,25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% при плановых назначениях в сумме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1309978,6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тыс. руб.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Недоисполнение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по расходам объясняется рядом факторов,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невостребованность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в денежных средствах по межбюджетным трансфертам из вышестоящих бюджетов, а также поступлением в последние дни года из краевого бюджета субсидий и субвенций, которые не были освоены и остались остатками на начало года.</w:t>
      </w:r>
      <w:proofErr w:type="gramEnd"/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За 12 месяцев 2023 года расходы, направленные на исполнение муниципальных программ составили 1205046,3 </w:t>
      </w: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тыс. руб.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или 98,81 % от планового назначения.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Расходы консолидированного бюджета на региональные и муниципальные программы поддержки малого и среднего предпринимательства за 2023 год составили 955,81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тыс. рублей, что на 392,84 тыс. рублей меньше чем в 2022 г. или на 29,1 %. Прогнозируется незначительное снижения показателя в 2024 г. - 931,5 тыс. рублей, в 2025 - 2027 г.г. - 901,5 тыс. рублей.</w:t>
      </w:r>
      <w:proofErr w:type="gramEnd"/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123204" w:rsidRPr="00467470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10. Общественное питание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Оборот общественного питания в 2023 году составил 74609,5 тыс. руб., темп роста в сопоставимых ценах – 102,30 %. В 2024 году ожидается оборот общественного питания в сумме 85500,9 тыс. руб., темп роста – 102,96 %. В 2025 году планируется оборот общественного питания 93392,6 тыс. руб., темп роста  - 102,95 %, в 2026 году - оборот 100332,8 тыс. руб., темп роста  - 103,2 %, в 2027 году  - оборот 107892,2 тыс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 руб., темп роста – 103,2 %.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123204" w:rsidRPr="00467470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11. Розничная торговля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Розничная торговая сеть района представлена  152 объектами с торговой площадью 25585 кв. м., из которых 130 магазинов, 7 павильонов, 8 киосков, 7 аптечных магазинов. Обеспеченность торговой площадью на 1000 жителей составила 1135,7 кв. м/1000 человек. На территории Иланского района так же имеется  3 столовые (закусочные), 3  кафе, 7 автозаправочных станций.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Оборот розничной торговли в 2023 году составил  1956851,50 тыс. руб.</w:t>
      </w:r>
      <w:r w:rsidRPr="00467470">
        <w:rPr>
          <w:rFonts w:ascii="Times New Roman CYR" w:hAnsi="Times New Roman CYR" w:cs="Times New Roman CYR"/>
          <w:color w:val="008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2024 году ожидается увеличение оборота розничной торговли до 2237669,10 тыс. руб. В 2025 году планируется увеличить оборот розничной торговли до 2468715,70 тыс. руб., в 2026 г. оборот составит 2671612,90 тыс. руб.,</w:t>
      </w:r>
      <w:r w:rsidRPr="00467470">
        <w:rPr>
          <w:rFonts w:ascii="Times New Roman CYR" w:hAnsi="Times New Roman CYR" w:cs="Times New Roman CYR"/>
          <w:color w:val="008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2027 г. оборот торговли – 2868454,80 тыс. руб.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8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Увеличение оборота розничной торговли планируется за счет ввода в эксплуатацию новых объектов и увеличения объемов продаж.</w:t>
      </w:r>
      <w:r w:rsidRPr="00467470">
        <w:rPr>
          <w:rFonts w:ascii="Times New Roman CYR" w:hAnsi="Times New Roman CYR" w:cs="Times New Roman CYR"/>
          <w:color w:val="008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2023 г. темп роста оборота розничной торговли в сопоставимых ценах составил 108,47 %, в 2024 году ожидается темп роста 107,17 %; в 2025 г. – 105,68 %; в</w:t>
      </w:r>
      <w:r w:rsidRPr="00467470">
        <w:rPr>
          <w:rFonts w:ascii="Times New Roman CYR" w:hAnsi="Times New Roman CYR" w:cs="Times New Roman CYR"/>
          <w:color w:val="008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2026 г. - 104,16 %;  в 2027 г. –  103,44 %.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12. Платные услуги населению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 территории района действует 87 предприятий, оказывающих платные услуги, из них 38 - оказывают бытовые услуги населению.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Объем платных услуг населению в 2023 году составил 224757,17 тыс. руб., темп роста составил 105,21 %.  В 2024 году ожидается увеличение объема платных услуг до 251905,59 тыс. руб.,  в 2025 году планируется объем платных услуг в размере 273953,62 тыс. руб., в 2026 году объем услуг составит 289463,51 тыс. руб., в 2027 году – 307050,15 тыс. руб. Увеличение объема объясняется ростом цен на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бытовые и  транспортные услуги.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В структуре платных услуг большую долю занимают  транспортные услуги - 44,3 % ,коммунальные услуги – 40,9 %, медицинские услуги – 5,7 %.платные услуги образования – 3,3 %.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13. Уровень жизни населения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Фонд заработной  платы работников списочного состава организаций и внешних совместителей по полному кругу организаций за 2023 год составил   4805260,6 тыс. руб., в 2024 год фонд заработной  платы ожидается  в сумме  5751500,4 тыс. руб., в 2025  году фонд заработной  платы  планируется в сумме 6270489 тыс. руб., в 2026 году – 6722604 тыс. руб., в 2027 году -  7181414 тыс. руб.   </w:t>
      </w:r>
      <w:proofErr w:type="gramEnd"/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FF0000"/>
          <w:sz w:val="28"/>
          <w:szCs w:val="28"/>
          <w:u w:color="FF0000"/>
        </w:rPr>
        <w:t xml:space="preserve">      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Среднедушевые денежные доходы за месяц в 2023 году составили 32500 рублей, в 2024  году ожидается их увеличение до 39455 рублей (на 21,4%). В 2025 году планируется  увеличение доходов  до 44112 рублей  (на 11,8 %  по сравнению с 2024 годом), в 2026 году среднедушевые доходы составят 47995 рублей, в 2027 году – 52075 рублей. </w:t>
      </w:r>
    </w:p>
    <w:p w:rsidR="00467470" w:rsidRPr="00123204" w:rsidRDefault="00467470" w:rsidP="0012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FF0000"/>
          <w:sz w:val="28"/>
          <w:szCs w:val="28"/>
          <w:u w:color="FF0000"/>
        </w:rPr>
        <w:t xml:space="preserve">       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Среднемесячная заработная плата в 2023 году составила 64848,3 рублей, в 2024 году ожидается  рост на 19,4 % (составит 77430 рублей), в 2025 году планируется рост на 8,8 % по сравнению с 2024 годом (составит 84240 рублей),  в 2026 году – 90125 рубля, в 2027 году – 96075 рублей. 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123204" w:rsidRPr="00467470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14. Рынок труда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На территории Иланского района действует 64 организаций муниципальной формы собственности, из них 3 – муниципальных унитарных предприятий.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 xml:space="preserve">   Из общей численности населения за 2023 г. трудоспособное население в трудоспособном возрасте,  в среднем за период составляет– 12674 человек.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Среднесписочная численность работников списочного состава организаций без внешних совместителей по полному кругу организаций в 2023 г. - 6175 чел., к 2027 г. планируется увеличение среднесписочной численности работников на 54 чел. (по сравнению с 2023 г.) и составит - 6229 чел.</w:t>
      </w:r>
    </w:p>
    <w:p w:rsidR="00467470" w:rsidRPr="00123204" w:rsidRDefault="00467470" w:rsidP="00123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Уровень зарегистрированной безработицы (к трудоспособному населению в трудоспособном возрасте на конец года) в 2023 году составил 0,60 %.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безработицы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 2027 г.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составит – 0,70 %.</w:t>
      </w: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123204" w:rsidRPr="00467470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15. Демографическая ситуация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Численность постоянного населения Иланского района на 01.01.2024 года составила  22528 человека. Численность постоянного городского населения – 15587 чел., сельского  - 6941 чел. </w:t>
      </w:r>
    </w:p>
    <w:p w:rsidR="00467470" w:rsidRPr="00467470" w:rsidRDefault="00467470" w:rsidP="0046747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Среднегодовая численность постоянного населения Иланского района за 2023 год составила  22741 человека. </w:t>
      </w:r>
    </w:p>
    <w:p w:rsidR="00467470" w:rsidRPr="00467470" w:rsidRDefault="00467470" w:rsidP="0046747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Численность населения по возрастным группам на начало периода распределилась следующим образом:</w:t>
      </w:r>
    </w:p>
    <w:p w:rsidR="00467470" w:rsidRPr="00467470" w:rsidRDefault="00467470" w:rsidP="0046747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   в  возрасте моложе трудоспособного - 5004 чел.;</w:t>
      </w:r>
    </w:p>
    <w:p w:rsidR="00467470" w:rsidRPr="00467470" w:rsidRDefault="00467470" w:rsidP="0046747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   в  возрасте старше трудоспособного - 4920 чел.;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возрасте 0-14 лет - 4686 чел.,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возрасте 1-6 лет - 1560 чел.,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возрасте 3-7 лет - 1439 чел.,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возрасте 5-18 лет - 4611 чел.,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возрасте 0-17 лет - 5590 чел.,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возрасте 3-79 лет - 21646 чел.,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возрасте 70 лет и старше - 1875 чел.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Численность постоянного населения в трудоспособном возрасте, в среднем за 2023 год составило 13070 чел.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 Численность родившихся за 2023 год составило 212 чел.,  в 2024 г. ожидается 210 чел., в 2025 г. планируется 212 чел., в 2026 г. – 213 чел., в 2027 г. – 215 чел.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 Численность умерших за 2023 г. составила 348 чел., в 2024 г. ожидаемое число умерших составит 372 чел., в 2025 - 371 чел.,  в 2026 году число умерших достигнет 371 чел., в 2027 г. планируется  число умерших до 368 чел.  </w:t>
      </w:r>
    </w:p>
    <w:p w:rsidR="00123204" w:rsidRPr="005D77F2" w:rsidRDefault="00467470" w:rsidP="005D7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Одной из приоритетных задач Администрации района на перспективу ставится улучшение демографической ситуации. Стабилизация социально-экономического положения,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уделение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должного внимания молодым семьям  позволит увеличить рождаемость. </w:t>
      </w:r>
    </w:p>
    <w:p w:rsidR="00123204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123204" w:rsidRPr="00467470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16. Образование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ind w:right="-20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количество образовательных организаций всех форм собственности в 2023 году в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Иланской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системе образования составило 28 учреждений – 18 юридических лиц. </w:t>
      </w:r>
      <w:r w:rsidRPr="00467470">
        <w:rPr>
          <w:rFonts w:ascii="Times New Roman CYR" w:hAnsi="Times New Roman CYR" w:cs="Times New Roman CYR"/>
          <w:color w:val="000000"/>
          <w:spacing w:val="-3"/>
          <w:sz w:val="28"/>
          <w:szCs w:val="28"/>
          <w:u w:color="FF0000"/>
        </w:rPr>
        <w:t xml:space="preserve">  И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з 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их:</w:t>
      </w:r>
    </w:p>
    <w:p w:rsidR="00467470" w:rsidRPr="00467470" w:rsidRDefault="00467470" w:rsidP="00467470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28" w:lineRule="auto"/>
        <w:ind w:left="1" w:right="-20" w:firstLine="709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- 7</w:t>
      </w:r>
      <w:r w:rsidRPr="00467470">
        <w:rPr>
          <w:rFonts w:ascii="Times New Roman CYR" w:hAnsi="Times New Roman CYR" w:cs="Times New Roman CYR"/>
          <w:color w:val="FF0000"/>
          <w:spacing w:val="34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pacing w:val="1"/>
          <w:sz w:val="28"/>
          <w:szCs w:val="28"/>
          <w:u w:color="FF0000"/>
        </w:rPr>
        <w:t>до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ш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</w:t>
      </w:r>
      <w:r w:rsidRPr="00467470">
        <w:rPr>
          <w:rFonts w:ascii="Times New Roman CYR" w:hAnsi="Times New Roman CYR" w:cs="Times New Roman CYR"/>
          <w:color w:val="000000"/>
          <w:spacing w:val="1"/>
          <w:sz w:val="28"/>
          <w:szCs w:val="28"/>
          <w:u w:color="FF0000"/>
        </w:rPr>
        <w:t>о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</w:t>
      </w:r>
      <w:r w:rsidRPr="00467470">
        <w:rPr>
          <w:rFonts w:ascii="Times New Roman CYR" w:hAnsi="Times New Roman CYR" w:cs="Times New Roman CYR"/>
          <w:color w:val="000000"/>
          <w:spacing w:val="-4"/>
          <w:sz w:val="28"/>
          <w:szCs w:val="28"/>
          <w:u w:color="FF0000"/>
        </w:rPr>
        <w:t>ь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ы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х 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обр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азовател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ь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ы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х </w:t>
      </w:r>
      <w:r w:rsidRPr="00467470">
        <w:rPr>
          <w:rFonts w:ascii="Times New Roman CYR" w:hAnsi="Times New Roman CYR" w:cs="Times New Roman CYR"/>
          <w:color w:val="000000"/>
          <w:spacing w:val="-3"/>
          <w:sz w:val="28"/>
          <w:szCs w:val="28"/>
          <w:u w:color="FF0000"/>
        </w:rPr>
        <w:t>у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чреж</w:t>
      </w:r>
      <w:r w:rsidRPr="00467470">
        <w:rPr>
          <w:rFonts w:ascii="Times New Roman CYR" w:hAnsi="Times New Roman CYR" w:cs="Times New Roman CYR"/>
          <w:color w:val="000000"/>
          <w:spacing w:val="2"/>
          <w:sz w:val="28"/>
          <w:szCs w:val="28"/>
          <w:u w:color="FF0000"/>
        </w:rPr>
        <w:t>д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е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и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й;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- 10 обще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о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б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ра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з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оват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е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ль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pacing w:val="4"/>
          <w:sz w:val="28"/>
          <w:szCs w:val="28"/>
          <w:u w:color="FF0000"/>
        </w:rPr>
        <w:t>ы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х ш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к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ол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;</w:t>
      </w:r>
    </w:p>
    <w:p w:rsidR="00467470" w:rsidRPr="00467470" w:rsidRDefault="00467470" w:rsidP="00467470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28" w:lineRule="auto"/>
        <w:ind w:left="1" w:right="-1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- 1 </w:t>
      </w:r>
      <w:r w:rsidRPr="00467470">
        <w:rPr>
          <w:rFonts w:ascii="Times New Roman CYR" w:hAnsi="Times New Roman CYR" w:cs="Times New Roman CYR"/>
          <w:color w:val="000000"/>
          <w:spacing w:val="-3"/>
          <w:sz w:val="28"/>
          <w:szCs w:val="28"/>
          <w:u w:color="FF0000"/>
        </w:rPr>
        <w:t>у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чрежд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е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 xml:space="preserve">ие  </w:t>
      </w:r>
      <w:r w:rsidRPr="00467470">
        <w:rPr>
          <w:rFonts w:ascii="Times New Roman CYR" w:hAnsi="Times New Roman CYR" w:cs="Times New Roman CYR"/>
          <w:color w:val="000000"/>
          <w:spacing w:val="1"/>
          <w:sz w:val="28"/>
          <w:szCs w:val="28"/>
          <w:u w:color="FF0000"/>
        </w:rPr>
        <w:t>д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оп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ол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ите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льн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ого  о</w:t>
      </w:r>
      <w:r w:rsidRPr="00467470">
        <w:rPr>
          <w:rFonts w:ascii="Times New Roman CYR" w:hAnsi="Times New Roman CYR" w:cs="Times New Roman CYR"/>
          <w:color w:val="000000"/>
          <w:spacing w:val="-2"/>
          <w:sz w:val="28"/>
          <w:szCs w:val="28"/>
          <w:u w:color="FF0000"/>
        </w:rPr>
        <w:t>б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а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зова</w:t>
      </w:r>
      <w:r w:rsidRPr="00467470">
        <w:rPr>
          <w:rFonts w:ascii="Times New Roman CYR" w:hAnsi="Times New Roman CYR" w:cs="Times New Roman CYR"/>
          <w:color w:val="000000"/>
          <w:spacing w:val="-1"/>
          <w:sz w:val="28"/>
          <w:szCs w:val="28"/>
          <w:u w:color="FF0000"/>
        </w:rPr>
        <w:t>н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ия.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Кроме того, в муниципалитете функционирует 6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филиалов, 2 структурных подразделения, 2 учреждения с уровнем дошкольного образования.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В течение отчётного года, в связи с пожаром МБДОУ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Хайрюзовский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детский сад №19» произошло уменьшение ДОУ на 1 юридическое лицо. 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Количество мест в дошкольных учреждениях составляет 889 мест и 45 мест в МБОУ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Далайская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№11» (группы при школе), 35 мест МБОУ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Новогородская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№3» (группы при школе).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Фактически посещают 796 детей и 37 детей в МБОУ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Далайская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№11», 16 детей в МБОУ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Новогородская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№3», из них 749 детей в возрасте от 3 до 7 лет, 831 ребенок в возрасте от 1 до 6 лет (за исключением 7-ми и 8-ми летнего возраста). 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 составила 0.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Численность детей в расчете на 100 мест в ДОУ составила 87,6 %. По сравнению с прошлым годом произошло уменьшение (2022г.- 88,2%) по причине того, что в Иланском районе наблюдается уменьшение численности населения, в том числе и детского, снижение значений показателей связано с демографической ситуацией в районе в целом. В 2022г. воспитанников в детских садах было 859 чел., а в 2023г. – 849 чел.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Сеть общеобразовательных организаций на селе полностью  обеспечивает  доступность образовательных услуг населению в зависимости от его потребностей.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г. Иланском функционирует 3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средних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школы. В 2022 году возведено новое здание МБОУ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Иланская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 41»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  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  В связи с несоответствием общеобразовательных учреждений современным требованиям в отчетном году, выросло число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учреждений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здания которых требуют капитального ремонта (МБОУ «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Иланская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СОШ №1, МБОУ «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Карапсельская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СОШ № 13»).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Численность обучающихся на начало 2023-2024 учебного года составляет 2901 человек, из них 1162 чел.- обучающиеся начальных классов, 254 чел. – 9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классников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, 111 чел. -11классников.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Причины нестабильного количества обучающихся различны: снижение количества первоклассников (в 2023- 257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чел.,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-в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2022 году – 270 чел. ежегодно около 300), снижение количества обучающихся в сельских школах.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В 3 городских школах обучаются 2186 чел.,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сельских – 715 чел.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Количество обучающихся во вторую смену осталось на прежнем уровне и составляет 413 человек - это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обучающиеся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Иланской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№1 и №2.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Все дети школьного возраста, проживающие на территории Иланского района, охвачены обучением. Формы обучения удовлетворяют образовательные потребности всех проживающих на территории района. Приоритетной является очная форма. Самая востребованная форма получения образования – в общеобразовательных организациях. 26 школьников обучаются на дому по медицинским показаниям (в 2022 – 25 чел., в 2021 – 19 чел.). В 3 школах (Новониколаевская СОШ № 9, Соколовская СОШ № 4,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Южно-Александровская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 5) организовано обучение с использованием дистанционных технологий, вследствие дефицита учителей английского языка, химии и физики.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111 выпускников 11 классов школ района были допущены к ЕГЭ, из них 4 выпускника (2 - СОШ № 1 и 2 СОШ № 41) получили аттестат с отличием и медаль «За особые успехи в учении». 2 выпускника (СОШ №1) были выпущены без аттестата, со справкой.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прогнозируемом периоде на 2024, 2025, 2026, 2027 годы планируется достижение 100 % - значения.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 2023 году д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оля детей в возрасте от 5 до 18 лет, получающих услуги по дополнительному образованию 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составляет 117,1% в соответствие с приказом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Минпросвещения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России № 262 от 20.05.2021 «Об утверждении методик расчета показателей федеральных проектов национального проекта «Образование».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 2023 года по сравнению с 2023 годом увеличилась с 88 % до 89% и составила 2608 чел.</w:t>
      </w:r>
    </w:p>
    <w:p w:rsidR="00467470" w:rsidRPr="00467470" w:rsidRDefault="00467470" w:rsidP="00467470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Основными задачами отдела опеки и попечительства являются: своевременное  выявление детей-сирот и детей, оставшихся без попечения родителей, а также детей, находящихся в неблагополучных семьях, профилактика социального сиротства, постановка на учет и предоставление всех льгот, предусмотренных действующим законодательством.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В Иланском районе за 2023 год численность детей-сирот и детей, оставшихся без попечения, состоящих на учете  составила 94 человека, в том числе: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- детей, находящихся под безвозмездной опекой (попечительством) – 59 человека;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- детей усыновленных (удочеренных) – 15 человек;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- детей, находящихся в приемных семьях - 20 человек.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 xml:space="preserve">Уменьшение количества детей-сирот и детей, оставшихся без попечения, </w:t>
      </w: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lastRenderedPageBreak/>
        <w:t>состоящих на учете, произошло в связи с достижением совершеннолетия опекаемых и  переездом семей за пределы района.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17. Культура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Сеть муниципальных бюджетных учреждений культуры на данный момент состоит из 28 учреждений культурн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о-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досугового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типа, из которых 24 объединены в одно муниципальное бюджетное учреждение культуры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Дом культуры Иланского района» и стали филиалами этого учреждения, 22 библиотеки в составе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межпоселенческой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библиотеки Иланского района, одна детская школа искусств. Численность работников организаций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культурно-досугового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типа всех форм собственности - работники, относящиеся к основному персоналу в 2023 г. - 103 чел.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при поддержке Министерства культуры Российской Федерации и Фонда кино, который стал возможным благодаря национальному проекту «Культура» во Дворце культуры железнодорожников открылся современный модернизированный кинозал.   Также в 2023 году Студия вокала «РОСТ» получила звание Образцового художественного коллектива, открылось новое клубное формирование «Круговые танцы народов мира», которое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стало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востребован для женщин.  Возраст участников от 40 до 65 лет. Число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культурно-досуговых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мероприятий в 2023 году возросло до 39, а посетителей до 45299 человек.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 2023 года функционирует «Виртуальный концертный зал», осуществляющий свою деятельность на базе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Иланской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детской школы искусств».</w:t>
      </w:r>
      <w:r w:rsidRPr="00467470">
        <w:rPr>
          <w:rFonts w:ascii="Calibri" w:hAnsi="Calibri" w:cs="Calibri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Детская школа искусств - 1 ед. Численность работников детских музыкальных, художественных, хореографических, театральных школ и школ искусств в 2023 г. - 20 чел.</w:t>
      </w:r>
      <w:r w:rsidRPr="00467470">
        <w:rPr>
          <w:rFonts w:ascii="Calibri" w:hAnsi="Calibri" w:cs="Calibri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Контингент школы составляет 237 учащихся. Ежегодный выпуск детей до 30   человек. Число учащихся детской школы иску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сств к ч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исленности учащихся общеобразовательных школ в районе (процент охвата) составляет чуть меньше 10%.  В 2022-2023 учебном году школа выпустила 19 обучающихся: 16 выпускников отделения ИЗО, 3 выпускников музыкального отделения.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Библиотеки: Количество общедоступных библиотек всех форм собственности в 2023 г. - 22 ед., Численность работников общедоступных библиотек всех форм собственности в 2023 г. - 56 чел.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рамках сетевого и межведомственного взаимодействия в 2023 году было подписано семистороннее соглашение о реализации национальных проектов «Культура», «Здравоохранение», «Образование», «Демография». Сторонами, подписавшими Соглашение, стали не только представители социальной и молодежной сферы, но и общественно-политические СМИ, Настоятель Храма святого благоверного Александра Невского, Советы ветеранов и представители профсоюзов. Также благодаря победе в конкурсе краевой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грантовой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программы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«Партнерство» фонду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БлагоДарю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» удалось поддержать 15 проектов. Реализация проектов уже началась.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В районе более 13 лет проводится краевой фестиваль народного художественного творчества им. К.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Скопцова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«Родники народные» </w:t>
      </w:r>
      <w:r w:rsidRPr="00467470">
        <w:rPr>
          <w:rFonts w:ascii="Calibri" w:hAnsi="Calibri" w:cs="Calibri"/>
          <w:u w:color="FF0000"/>
        </w:rPr>
        <w:t xml:space="preserve">—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это крупное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брендовое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событие, позволяющее позиционировать район как территорию самобытную, занимающуюся актуализацией традиционного народного искусства, в том числе ремесленничества, что является брендом территории.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Требуют капитального ремонта 9 учреждений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культурно-досугового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типа: ДК железнодорожников,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Краснохлеборобовский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СК,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Южно-Александровский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СДК, Новониколаевский СДК,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Новопокровский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СДК,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Богдановский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СК,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Краснинский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СК.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28. Физическая культура и спорт</w:t>
      </w:r>
    </w:p>
    <w:p w:rsidR="00123204" w:rsidRPr="00123204" w:rsidRDefault="00123204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tabs>
          <w:tab w:val="left" w:pos="0"/>
        </w:tabs>
        <w:autoSpaceDE w:val="0"/>
        <w:autoSpaceDN w:val="0"/>
        <w:adjustRightInd w:val="0"/>
        <w:spacing w:before="82" w:after="0" w:line="322" w:lineRule="exact"/>
        <w:ind w:right="-1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Стратегической целью в области физической культуры и спорта на территории Иланского района является создание условий, обеспечивающих возможность граждан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Иланского спорта. По реализации данной стратегии на территории нашего района работают учреждения спортивной направленности, такие как МБУ «Физкультурно-спортивный центр Иланский», МБУ «Спортивная школа Иланского района», четыре физкультурно-спортивных клуба по месту жительства граждан. Один в городе Иланский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Дариец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», другие в селе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Карапсель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«Атлант», в селе Южно – Александровка «СЮИД» и селе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Далай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, а также десять спортивных клубов при общеобразовательных школах.  К числу основных задач данных учреждений относятся развитие массового спорта, пропаганда физической культуры и спорта, модернизация системы физического воспитания различных категорий и групп населения, подготовка спортсменов высокого класса и спортивного резерва.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В 2023 году Иланский район стал победителем конкурса на предоставление межбюджетного трансферта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спорта». Размер трансферта 349,9 тыс. руб. Данные средства были использованы для приобретения спортивного инвентаря и оборудования физкультурно-спортивным клубом по месту жительства граждан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Дарией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» г. Иланский.      </w:t>
      </w:r>
    </w:p>
    <w:p w:rsidR="00467470" w:rsidRPr="00467470" w:rsidRDefault="00467470" w:rsidP="0046747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В отчетном году в нашем районе проведены соревнования по 19 видам спорта: 69 районных, спортсмены района приняли участие в 43 межрайонных, краевых и российских соревнованиях. Участвовали в проекте «Звезды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Красноярья». </w:t>
      </w:r>
    </w:p>
    <w:p w:rsidR="00467470" w:rsidRPr="00467470" w:rsidRDefault="00467470" w:rsidP="0046747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В районе проводились спортивные акции «Оранжевый мяч», «Лед надежды нашей», «Кросс Нации», Лыжня России»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На территории Иланского района увеличилось число систематически занимающихся физической культурой и спортом с 9806 в 2022 году до 11132 человек в 2023 году. Удельный вес систематически занимающихся физической культурой и спортом в 2023 году составил 51,43 %. Увеличение произошло за счет увеличения числа занимающихся физической культурой и спортом в предприятиях, учреждениях при спортивных сооружениях, а также в клубах по месту жительства граждан. 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2024-2027 годы поставили перед нами ряд задач, над которыми мы сейчас работаем это: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- плановое внедрение и развития ВФСК ГТО (тестирование населения);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- увеличение числа учащихся спортивной школы, получивших массовые спортивные разряды и звания;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- подготовка спортивного резерва для сборных команд Красноярского края;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- активизация физкультурно-спортивной работы на селе через спортивные клубы по месту жительства граждан и клубы при общеобразовательных школах, также строительство плоскостных спортивных сооружений в сельской местности с целью увеличения числа жителей, занимающихся физической культурой и спортом. 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- увеличение показателя, обеспеченности граждан Иланского района спортивными сооружениями исходя из единовременной пропускной способности объектов спорта. </w:t>
      </w:r>
    </w:p>
    <w:p w:rsidR="00467470" w:rsidRPr="00467470" w:rsidRDefault="00467470" w:rsidP="00467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- активизация работы с гражданами старшего возраста 55-79 лет,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вовлекая их к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систематическим занятиям физической культурой и спортом.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20. Жилищно-коммунальное хозяйство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Общая площадь жилищного фонда всех форм собственности в 2023 году составила 570,2 тыс.кв.м., в том числе муниципального – 33,06 тыс.кв.м.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прогнозном периоде на 2025-2027г.г. увеличение жилищного фонда планируется за счет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индивидуального жилищного строительства, возводим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ого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населением за счет собственных средств. О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бщая площадь жилого фонда, приходящаяся на одного жителя в 2023 году, составила – 25,3 кв. м/чел.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Общая площадь муниципального ветхого и аварийного жилищного фонда, в 2023 году составила -13,8 тыс.кв.м., что составляет -2,42% от общей площади жилищного фонда.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highlight w:val="white"/>
          <w:u w:color="FF0000"/>
        </w:rPr>
      </w:pP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Количество организаций жилищно-коммунального комплекса по чистым видам деятельности составило 18 ед., в т.ч. организаций коммунального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комплекса 15 ед., из них организации осуществляющие услугу по теплоснабжению - АО "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КрасЭКО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" и  Красноярская ДТВ филиала ОАО "РЖД", ООО "КТО Магистраль Плюс" (теплосети) - 3ед., организаций осуществляющие услуги по водоснабжению и водоотведению, очистке сточных вод - Красноярская ДТВ филиала ОАО "РЖД", МКУ "ЦХО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Карапсельского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сельсовета", МКУ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"Новопокровского сельсовета", МКУ "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Новогородского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сельсовета", МКУ "Селянка", МКУ "Исток", ООО "Восток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"(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сети), МУПП "Тайга", ООО "Артезиан" - 9ед., по газоснабжению - ОАО "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Красноярсккрайгаз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" - 1 ед., по электроснабжению "ОАО "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МРСК-Сибирь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" - 1 ед., по обращению с ТКО - ООО "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Рециклинговая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компания" - 1ед.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На территории района в 2023 году всего 130 многоквартирных дома, из них 128 домов выбрали и реализуют способ управления: в 67 домах – непосредственный способ управления многоквартирным домом и в 61 домах – управление управляющей организацией, из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них-ООО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"КТО Магистраль Плюс" - 21ед., ООО "Удача Плюс" -27 ед., ООО "Омега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-И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юнь"-9ед., ООО "Стратегия" - 6ед. В 2-х многоквартирных домах, площадью -1,18тыс.кв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.м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, управление осуществляется управляющими организациями, выбранными по результатам открытого конкурса.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2023 году общая сумма доходов исполнителей коммунальных услуг с учетом финансирования из бюджетов всех уровней составила - 52625,3тыс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.р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уб., в 2024 планируется доход - 57200,0тыс.руб., в 2025 - 61600,0тыс.руб., в 2026 - 64560,0тыс.руб., в 2027 - 67150, 0тыс.руб.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Общая сумма доходов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ресурсоснабжающих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организаций от реализации ресурсов (услуг) с учетом финансирования из бюджетов всех уровней - 360357,3тыс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.р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уб., в 2024 планируется доход - 391700,0тыс.руб., в 2025 - 421870,0тыс.руб., в 2026 - 442100,0тыс.руб., в 2027 - 459800, 0тыс.руб.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Объем отпуска тепловой энергии в 2023 году составил – 89,86тыс. Гкал., отпущено холодной воды всем потребителям –133,02 тыс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.к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уб.м, из них населению – 114,35 тыс.куб. Пропущено сточных вод за 2023 год – 542,52 тыс.куб.м., пропущено сточных вод от населения за 2023 год – 174,66 тыс.куб.м.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 конец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2023 года количество источников теплоснабжения всех форм собственности составило 41 ед., из них 18 котельных в муниципальной собственности.  Уменьшение количества котельных по сравнению с 2022 годом связано с тем, что котельная </w:t>
      </w:r>
      <w:r w:rsidRPr="00467470">
        <w:rPr>
          <w:rFonts w:ascii="Times New Roman" w:hAnsi="Times New Roman" w:cs="Times New Roman"/>
          <w:color w:val="000000"/>
          <w:sz w:val="28"/>
          <w:szCs w:val="28"/>
          <w:u w:color="FF0000"/>
        </w:rPr>
        <w:t>№10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г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 Иланский</w:t>
      </w:r>
      <w:r w:rsidRPr="00467470">
        <w:rPr>
          <w:rFonts w:ascii="Times New Roman" w:hAnsi="Times New Roman" w:cs="Times New Roman"/>
          <w:color w:val="000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выведена из эксплуатации. </w:t>
      </w:r>
    </w:p>
    <w:p w:rsidR="00467470" w:rsidRPr="00467470" w:rsidRDefault="00467470" w:rsidP="00467470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Протяженность тепловых и паровых сетей в двухтрубном исчислении всех форм собственности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 конец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2023 года составила - 40,23 км. Протяженность тепловых и паровых сетей в двухтрубном исчислении нуждающихся в замене за 2023 год составила 15,37 км. В 2023 году заменено тепловых сетей –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0,9 км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.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з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а счет собственных средств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ресурсоснабжающей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организации АО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Красэко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». Фактический износ тепловых сетей составил - 61,8%.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Протяженность уличной водопроводной сети на конец 2023 года составила –162,62км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., 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из них нуждаются в замене – 70,727 км. В 2023 году</w:t>
      </w: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заменено – 6,16км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личной водопроводной сети. 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Фактический износ </w:t>
      </w: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водопроводных сетей - 56,4%.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Протяженность уличной канализационной сети на конец 2023 года составила – 17,81 км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., 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из них нуждаются в замене – 7,35км. Фактический износ канализационных сетей - 58,73%.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Уровень износа коммунальной инфраструктуры на 2023 составил - 35,29%, в прогнозном периоде на 2024 планируется - 35,5%, в 2025 г. - 35,52%, в 2026г. - 35,6%, в 2027г. - 36%.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2023 году на капитальный ремонт объектов систем тепл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о-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,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электро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-, водоснабжения и водоотведения за счет всех источников финансирования в рамках подпрограммы "Модернизация, реконструкция и капитальный ремонт объектов коммунальной инфраструктуры муниципальных образований Красноярского края" на реализацию неотложных мероприятий по повышению эксплуатационной надежности объектов коммунальной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инфраструктыры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было затрачено - 4135,0 тыс. руб., из них за счет средств бюджета субъекта – 4094,0тыс.руб. и за счет средств муниципального образования – 41,0 тыс. руб.  - проведен капитальный ремонт участка водопроводной сети </w:t>
      </w:r>
      <w:proofErr w:type="gram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</w:t>
      </w:r>
      <w:proofErr w:type="gram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с. </w:t>
      </w:r>
      <w:proofErr w:type="spellStart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Кучердаевка</w:t>
      </w:r>
      <w:proofErr w:type="spellEnd"/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, протяженностью - 2км.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Электроснабжение населения Иланского района и организаций, предоставляющих жилищно-коммунальные услуги, осуществляется от централизованной системы энергоснабжения. На территории района расположено 234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трасформаторных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подстанций. Обслуживание и ремонт производится за счет собственных средств 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ресурсоснабжающих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организаций.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результате реализованных мероприятий получен ожидаемый эффект: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 улучшение качества предоставляемых коммунальных услуг;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- снижение риска возникновения аварийных ситуаций на объектах коммунальной сферы;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- снижение ежегодных потерь на ликвидацию аварийных ситуаций (порывов) по водопроводным сетям.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467470" w:rsidRPr="00123204" w:rsidRDefault="00467470" w:rsidP="0046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467470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21. Экология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Показатели социально-экономического развития Иланского района в сфере охраны окружающей среды приведены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согласно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 xml:space="preserve"> представленных данных за 2023 год по отчетам формы ФСН: № 2 - ТП (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водхоз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); № 2 - ТП (воздух); № 2-ТП (отходы).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Объем водопотребления (забрано воды) из природных источников за 2023 г. составил 1159,40 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.м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3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Количество водозаборных сооружений, оснащенных системами учета воды - 1 ед.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Суммарная мощность очистных сооружений, используемых для очистки сточных вод - 1 277,50 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.м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3</w:t>
      </w:r>
      <w:r w:rsidRPr="00467470">
        <w:rPr>
          <w:rFonts w:ascii="Times New Roman CYR" w:hAnsi="Times New Roman CYR" w:cs="Times New Roman CYR"/>
          <w:sz w:val="28"/>
          <w:szCs w:val="28"/>
          <w:u w:color="FF0000"/>
        </w:rPr>
        <w:t>/ сутки.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Загрязнение воздушного бассейна происходит за счет стационарных  (котельные) и передвижных (автотранспорт) источников выбросов.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На территории района централизованное теплоснабжение представлено 17 небольших котельных и 2 центральных,  которые работают на твердом топливе (угле).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 xml:space="preserve">Всего объем загрязняющих веществ, отходящих от стационарных источников  загрязнения атмосферного отпуска за 2023 год - 3375 тонн, из них,  объем загрязняющих веществ отходящих от 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стационарных источников загрязнения  атмосферного воздуха, уловленных и обезвреженных составляет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 xml:space="preserve"> 1111 тонн и выброшено в атмосферный воздух загрязняющих веществ от стационарных источников загрязнения атмосферного воздуха – 2264 тонн. 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 – 32,92%.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proofErr w:type="gramStart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За 2023 г. по району образовано отходов производства и потребления – 23 390,12 тонн, в т.ч. чрезвычайно опасные - 0,37 тонн, высоко опасные - 0,28 тонн, умеренно опасные, т.е. 3 класс – 420,17 тонн.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 xml:space="preserve"> Отходы - 4 класса – 360,06 тонн. Увеличение количества объемов происходит за счет регулярного  и более качественного сбора и вывоза отходов от  населения отходов.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proofErr w:type="gramStart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Количество отходов, переданных для обезвреживания– 129,068 тонн, из них передано: 1 класса - 0,45 тонн, 3 класса – 122,896 тонн, 4 класса – 5,722 тонн.</w:t>
      </w:r>
      <w:proofErr w:type="gramEnd"/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Организаций по обезвреживанию отходов -1.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Данные по обращению с отходами получены из формы статистического наблюдения 2-ТП (отходы).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Организаций, использующих отходы в качестве  вторичных материальных ресурсов на территории района – нет.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На территории района нет полигона ТБО. Региональным оператором на территории Иланского района  является  ООО «</w:t>
      </w:r>
      <w:proofErr w:type="spellStart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Рециклинговая</w:t>
      </w:r>
      <w:proofErr w:type="spellEnd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 xml:space="preserve"> компания». </w:t>
      </w:r>
    </w:p>
    <w:p w:rsidR="00467470" w:rsidRPr="00467470" w:rsidRDefault="00467470" w:rsidP="0046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На территории Иланского района в рамках программы по «Утилизации биологических отходов» был построен скотомогильник (биотермическая яма),  площадь  территории составляет - 0,010 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.г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а, данное сооружение прошло государственную экспертизу и соответствует всем экологическим и санитарным требованиям. На данный момент утилизация биологических отходов с территории Иланского района происходит в нем. Мощность  скотомогильника составляет – 2900 тонн.</w:t>
      </w:r>
    </w:p>
    <w:p w:rsidR="009E6F3B" w:rsidRPr="00123204" w:rsidRDefault="00467470" w:rsidP="00123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Объем вывезенных твердых коммунальных отходов за 2023 год составил 35,08 тыс</w:t>
      </w:r>
      <w:proofErr w:type="gramStart"/>
      <w:r w:rsidRPr="00467470">
        <w:rPr>
          <w:rFonts w:ascii="Times New Roman CYR" w:hAnsi="Times New Roman CYR" w:cs="Times New Roman CYR"/>
          <w:sz w:val="28"/>
          <w:szCs w:val="28"/>
          <w:u w:val="single" w:color="FF0000"/>
        </w:rPr>
        <w:t>.м</w:t>
      </w:r>
      <w:proofErr w:type="gramEnd"/>
      <w:r w:rsidRPr="00467470">
        <w:rPr>
          <w:rFonts w:ascii="Times New Roman CYR" w:hAnsi="Times New Roman CYR" w:cs="Times New Roman CYR"/>
          <w:sz w:val="28"/>
          <w:szCs w:val="28"/>
          <w:u w:val="single" w:color="FF0000"/>
          <w:vertAlign w:val="superscript"/>
        </w:rPr>
        <w:t xml:space="preserve">3 </w:t>
      </w:r>
    </w:p>
    <w:sectPr w:rsidR="009E6F3B" w:rsidRPr="00123204" w:rsidSect="000369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67470"/>
    <w:rsid w:val="00123204"/>
    <w:rsid w:val="0019594F"/>
    <w:rsid w:val="00467470"/>
    <w:rsid w:val="005D77F2"/>
    <w:rsid w:val="0091718D"/>
    <w:rsid w:val="009D7AB2"/>
    <w:rsid w:val="009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servereconomiki</dc:creator>
  <cp:lastModifiedBy>servereconomiki</cp:lastModifiedBy>
  <cp:revision>3</cp:revision>
  <dcterms:created xsi:type="dcterms:W3CDTF">2024-09-24T06:17:00Z</dcterms:created>
  <dcterms:modified xsi:type="dcterms:W3CDTF">2024-09-26T02:43:00Z</dcterms:modified>
</cp:coreProperties>
</file>