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ИЛАНСКИЙ  </w:t>
      </w:r>
      <w:r w:rsidR="0095640D">
        <w:rPr>
          <w:rFonts w:ascii="Times New Roman" w:hAnsi="Times New Roman" w:cs="Times New Roman"/>
          <w:b/>
          <w:sz w:val="24"/>
          <w:szCs w:val="24"/>
        </w:rPr>
        <w:t>РАЙОННЫЙ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 (проект)</w:t>
      </w: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 20</w:t>
            </w:r>
            <w:r w:rsidR="00946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</w:p>
        </w:tc>
      </w:tr>
    </w:tbl>
    <w:p w:rsidR="00F32D67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</w:t>
      </w:r>
      <w:r w:rsidR="0095640D">
        <w:rPr>
          <w:rFonts w:ascii="Times New Roman" w:hAnsi="Times New Roman" w:cs="Times New Roman"/>
          <w:sz w:val="24"/>
          <w:szCs w:val="24"/>
        </w:rPr>
        <w:t xml:space="preserve"> изменений в решение </w:t>
      </w:r>
      <w:r w:rsidR="00E77666">
        <w:rPr>
          <w:rFonts w:ascii="Times New Roman" w:hAnsi="Times New Roman" w:cs="Times New Roman"/>
          <w:sz w:val="24"/>
          <w:szCs w:val="24"/>
        </w:rPr>
        <w:t>Соколовского сельского</w:t>
      </w:r>
      <w:r w:rsidR="00956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E7766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77666">
        <w:rPr>
          <w:rFonts w:ascii="Times New Roman" w:hAnsi="Times New Roman" w:cs="Times New Roman"/>
          <w:sz w:val="24"/>
          <w:szCs w:val="24"/>
        </w:rPr>
        <w:t>20.06.2013 г.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E77666">
        <w:rPr>
          <w:rFonts w:ascii="Times New Roman" w:hAnsi="Times New Roman" w:cs="Times New Roman"/>
          <w:sz w:val="24"/>
          <w:szCs w:val="24"/>
        </w:rPr>
        <w:t>05-07-Р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77666">
        <w:rPr>
          <w:rFonts w:ascii="Times New Roman" w:hAnsi="Times New Roman" w:cs="Times New Roman"/>
          <w:sz w:val="24"/>
          <w:szCs w:val="24"/>
        </w:rPr>
        <w:t>Об утверждении «Правил землепользования и застройки Соколовского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640D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>
        <w:rPr>
          <w:rFonts w:ascii="Times New Roman" w:hAnsi="Times New Roman" w:cs="Times New Roman"/>
          <w:sz w:val="24"/>
          <w:szCs w:val="24"/>
        </w:rPr>
        <w:t xml:space="preserve">Устава Иланского </w:t>
      </w:r>
      <w:r w:rsidR="001456B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32D67">
        <w:rPr>
          <w:rFonts w:ascii="Times New Roman" w:hAnsi="Times New Roman" w:cs="Times New Roman"/>
          <w:sz w:val="24"/>
          <w:szCs w:val="24"/>
        </w:rPr>
        <w:t xml:space="preserve">района Красноярского края, </w:t>
      </w:r>
      <w:r w:rsidRPr="0095640D">
        <w:rPr>
          <w:rFonts w:ascii="Times New Roman" w:hAnsi="Times New Roman" w:cs="Times New Roman"/>
          <w:sz w:val="24"/>
          <w:szCs w:val="24"/>
        </w:rPr>
        <w:t>Иланский районный</w:t>
      </w:r>
      <w:r w:rsidR="00F32D67" w:rsidRPr="0095640D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F32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32D67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B1B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E77666">
        <w:rPr>
          <w:rFonts w:ascii="Times New Roman" w:hAnsi="Times New Roman" w:cs="Times New Roman"/>
          <w:sz w:val="24"/>
          <w:szCs w:val="24"/>
        </w:rPr>
        <w:t>Соколовского сельского Совета депутатов Иланского района Красноярского края от 20.06.2013 г. г. № 05-07-Р «Об утверждении «Правил землепользования и застройки Соколовского сельсовета»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2987" w:rsidRDefault="003B5B1B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A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7666">
        <w:rPr>
          <w:rFonts w:ascii="Times New Roman" w:hAnsi="Times New Roman" w:cs="Times New Roman"/>
          <w:sz w:val="24"/>
          <w:szCs w:val="24"/>
        </w:rPr>
        <w:t xml:space="preserve">В </w:t>
      </w:r>
      <w:r w:rsidR="00A55458">
        <w:rPr>
          <w:rFonts w:ascii="Times New Roman" w:hAnsi="Times New Roman" w:cs="Times New Roman"/>
          <w:sz w:val="24"/>
          <w:szCs w:val="24"/>
        </w:rPr>
        <w:t>статье 14 главы 2 части 2</w:t>
      </w:r>
      <w:r w:rsidR="00E77666">
        <w:rPr>
          <w:rFonts w:ascii="Times New Roman" w:hAnsi="Times New Roman" w:cs="Times New Roman"/>
          <w:sz w:val="24"/>
          <w:szCs w:val="24"/>
        </w:rPr>
        <w:t xml:space="preserve"> таблицу 3 изложить в новой редакции:</w:t>
      </w:r>
    </w:p>
    <w:tbl>
      <w:tblPr>
        <w:tblW w:w="5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672"/>
        <w:gridCol w:w="1916"/>
        <w:gridCol w:w="2650"/>
        <w:gridCol w:w="2468"/>
      </w:tblGrid>
      <w:tr w:rsidR="00E77666" w:rsidRPr="00A57871" w:rsidTr="00A473C6">
        <w:trPr>
          <w:trHeight w:val="2118"/>
          <w:jc w:val="center"/>
        </w:trPr>
        <w:tc>
          <w:tcPr>
            <w:tcW w:w="8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ВИД РАЗРЕШЕННОГО ИСПОЛЬЗОВАНИЯ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ind w:right="-147"/>
              <w:jc w:val="left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*КОД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jc w:val="left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*НАИМЕНОВАНИЕ ВИДА РАЗРЕШЕННОГО ИСПОЛЬЗОВАНИЯ ЗЕМЕЛЬНОГО УЧАСТКА (ПО КЛАССИФИКАТОРУ</w:t>
            </w:r>
            <w:r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)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widowControl w:val="0"/>
              <w:contextualSpacing/>
              <w:jc w:val="center"/>
              <w:rPr>
                <w:b/>
                <w:i/>
                <w:sz w:val="16"/>
                <w:szCs w:val="16"/>
              </w:rPr>
            </w:pPr>
            <w:r w:rsidRPr="00400C2A">
              <w:rPr>
                <w:b/>
                <w:sz w:val="16"/>
                <w:szCs w:val="16"/>
              </w:rPr>
              <w:t>ОГРАНИЧЕНИЯ ИСПОЛЬЗОВАНИЯ ЗЕМЕЛЬНЫХ УЧАСТКОВ  И ОБЪЕКТОВ КАПИТАЛЬНОГО СТРОИТЕЛЬСТВА</w:t>
            </w:r>
            <w:r w:rsidRPr="00400C2A">
              <w:rPr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861B7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4861B7"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  <w:t>Основной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2.1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51EE4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>Предельные размеры земельных участков, предоставляемых гражданам в собственность из находящихся в муниципальной собственности земель Иланского района: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451EE4">
              <w:rPr>
                <w:sz w:val="18"/>
                <w:szCs w:val="18"/>
              </w:rPr>
              <w:t>для ведения личного подсобного хозяйства: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>минимальный размер</w:t>
            </w:r>
            <w:r>
              <w:rPr>
                <w:sz w:val="18"/>
                <w:szCs w:val="18"/>
              </w:rPr>
              <w:t xml:space="preserve"> земельного участка</w:t>
            </w:r>
            <w:r w:rsidRPr="00451EE4">
              <w:rPr>
                <w:sz w:val="18"/>
                <w:szCs w:val="18"/>
              </w:rPr>
              <w:t xml:space="preserve"> – 0,02 га;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максимальный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– 0,3 га;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>–для индивидуального жилищного строительства: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– 0,02 га;</w:t>
            </w:r>
          </w:p>
          <w:p w:rsidR="00E77666" w:rsidRDefault="00E77666" w:rsidP="00A473C6">
            <w:pPr>
              <w:tabs>
                <w:tab w:val="left" w:pos="0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lastRenderedPageBreak/>
              <w:t xml:space="preserve">максимальный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– 0,3 га;</w:t>
            </w:r>
          </w:p>
          <w:p w:rsidR="00E77666" w:rsidRPr="00451EE4" w:rsidRDefault="00E77666" w:rsidP="00A473C6">
            <w:pPr>
              <w:tabs>
                <w:tab w:val="left" w:pos="0"/>
              </w:tabs>
              <w:snapToGri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Предельное количество э</w:t>
            </w:r>
            <w:r w:rsidRPr="00451EE4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ей</w:t>
            </w:r>
            <w:r w:rsidRPr="00451EE4">
              <w:rPr>
                <w:sz w:val="18"/>
                <w:szCs w:val="18"/>
              </w:rPr>
              <w:t xml:space="preserve"> –3 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Максимальный процент застройки в границах земельного участка не подлежит установлению.</w:t>
            </w:r>
          </w:p>
          <w:p w:rsidR="00E77666" w:rsidRPr="00D014E5" w:rsidRDefault="00E77666" w:rsidP="00A473C6">
            <w:pPr>
              <w:widowControl w:val="0"/>
              <w:ind w:firstLine="30"/>
              <w:contextualSpacing/>
              <w:rPr>
                <w:sz w:val="18"/>
                <w:szCs w:val="18"/>
              </w:rPr>
            </w:pPr>
            <w:r w:rsidRPr="00D014E5">
              <w:rPr>
                <w:sz w:val="18"/>
                <w:szCs w:val="18"/>
              </w:rPr>
              <w:t>Максимальный процент застройки</w:t>
            </w:r>
            <w:r>
              <w:rPr>
                <w:sz w:val="18"/>
                <w:szCs w:val="18"/>
              </w:rPr>
              <w:t xml:space="preserve"> в границах </w:t>
            </w:r>
            <w:r w:rsidRPr="00D014E5">
              <w:rPr>
                <w:sz w:val="18"/>
                <w:szCs w:val="18"/>
              </w:rPr>
              <w:t>земельн</w:t>
            </w:r>
            <w:r>
              <w:rPr>
                <w:sz w:val="18"/>
                <w:szCs w:val="18"/>
              </w:rPr>
              <w:t>ого участка</w:t>
            </w:r>
            <w:r w:rsidRPr="00D014E5">
              <w:rPr>
                <w:sz w:val="18"/>
                <w:szCs w:val="18"/>
              </w:rPr>
              <w:t xml:space="preserve"> определяются в соответствии с Местными нормативами градостроительного проектирования </w:t>
            </w:r>
            <w:r>
              <w:rPr>
                <w:sz w:val="18"/>
                <w:szCs w:val="18"/>
              </w:rPr>
              <w:t>Соколовского</w:t>
            </w:r>
            <w:r w:rsidRPr="00D014E5">
              <w:rPr>
                <w:sz w:val="18"/>
                <w:szCs w:val="18"/>
              </w:rPr>
              <w:t xml:space="preserve"> сельсовета.</w:t>
            </w:r>
          </w:p>
        </w:tc>
        <w:tc>
          <w:tcPr>
            <w:tcW w:w="13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нормативным требованиям технических регламентов. 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ограничений пользование ЗУ и ОКС при осуществлении публичного сервитута.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При размещении </w:t>
            </w:r>
            <w:r w:rsidRPr="00470144">
              <w:rPr>
                <w:sz w:val="18"/>
                <w:szCs w:val="18"/>
              </w:rPr>
              <w:lastRenderedPageBreak/>
              <w:t xml:space="preserve">существующей застройки в границах прибрежной защитной полосы водных объектов требуется соблюдение части 17 и 15 ст.65 Водного кодекса РФ, при планируемой застройке избегать размещения приусадебных участков, подвергаемых распашке, в границах прибрежной защитной полосы. </w:t>
            </w:r>
          </w:p>
        </w:tc>
      </w:tr>
      <w:tr w:rsidR="00E77666" w:rsidRPr="003203DC" w:rsidTr="00A473C6">
        <w:trPr>
          <w:trHeight w:val="1045"/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2.2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14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2.3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1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</w:t>
            </w:r>
            <w:r>
              <w:rPr>
                <w:sz w:val="18"/>
                <w:szCs w:val="18"/>
              </w:rPr>
              <w:t>.</w:t>
            </w:r>
          </w:p>
          <w:p w:rsidR="00E77666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 xml:space="preserve">Предельные (максимальные и минимальные) </w:t>
            </w:r>
            <w:r>
              <w:rPr>
                <w:sz w:val="18"/>
                <w:szCs w:val="18"/>
              </w:rPr>
              <w:t>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451EE4" w:rsidRDefault="00E77666" w:rsidP="00A473C6">
            <w:pPr>
              <w:tabs>
                <w:tab w:val="left" w:pos="0"/>
              </w:tabs>
              <w:snapToGri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Предельное количество э</w:t>
            </w:r>
            <w:r w:rsidRPr="00451EE4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ей</w:t>
            </w:r>
            <w:r w:rsidRPr="00451EE4">
              <w:rPr>
                <w:sz w:val="18"/>
                <w:szCs w:val="18"/>
              </w:rPr>
              <w:t xml:space="preserve"> –3 </w:t>
            </w:r>
          </w:p>
          <w:p w:rsidR="00E77666" w:rsidRPr="00AE6130" w:rsidRDefault="00E77666" w:rsidP="00A473C6">
            <w:pPr>
              <w:pStyle w:val="2"/>
              <w:rPr>
                <w:sz w:val="18"/>
                <w:szCs w:val="18"/>
              </w:rPr>
            </w:pPr>
            <w:r w:rsidRPr="00AE6130">
              <w:rPr>
                <w:sz w:val="18"/>
                <w:szCs w:val="18"/>
              </w:rPr>
              <w:t>Максимальный процент застройки в границах земельного участка не подлежит установлению.</w:t>
            </w:r>
          </w:p>
          <w:p w:rsidR="00E77666" w:rsidRPr="00470144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rPr>
                <w:sz w:val="18"/>
                <w:szCs w:val="18"/>
              </w:rPr>
            </w:pPr>
            <w:r w:rsidRPr="00AE6130">
              <w:rPr>
                <w:sz w:val="18"/>
                <w:szCs w:val="18"/>
              </w:rPr>
              <w:t>Максимальный процент застройки в границах земельного участка определяются в соответствии с Местными нормативами градостроительного проектирования Соколовского сельсовета.</w:t>
            </w:r>
          </w:p>
        </w:tc>
        <w:tc>
          <w:tcPr>
            <w:tcW w:w="13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 Требуется соблюдение ограничений пользование ЗУ и ОКС при осуществлении публичного сервитута.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</w:t>
            </w:r>
            <w:r w:rsidRPr="00470144">
              <w:rPr>
                <w:bCs/>
                <w:sz w:val="18"/>
                <w:szCs w:val="18"/>
              </w:rPr>
              <w:t xml:space="preserve"> размещение в</w:t>
            </w:r>
            <w:r w:rsidRPr="00470144">
              <w:rPr>
                <w:sz w:val="18"/>
                <w:szCs w:val="18"/>
              </w:rPr>
              <w:t xml:space="preserve"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</w:t>
            </w:r>
            <w:r w:rsidRPr="00470144">
              <w:rPr>
                <w:sz w:val="18"/>
                <w:szCs w:val="18"/>
              </w:rPr>
              <w:lastRenderedPageBreak/>
              <w:t>по ремонту часов, обуви).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2.1.1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4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b/>
                <w:i/>
                <w:sz w:val="18"/>
                <w:szCs w:val="18"/>
              </w:rPr>
            </w:pPr>
            <w:r w:rsidRPr="00470144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установлению.</w:t>
            </w:r>
          </w:p>
          <w:p w:rsidR="00E77666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9D7B58">
              <w:rPr>
                <w:rFonts w:ascii="Times New Roman" w:hAnsi="Times New Roman" w:cs="Times New Roman"/>
                <w:i w:val="0"/>
                <w:sz w:val="18"/>
                <w:szCs w:val="18"/>
              </w:rPr>
              <w:t>Предельные (максимальные и минимальные)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Предельная высота объекта не подлежит установлению.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Предельная высота объекта определяется индивидуально на основе </w:t>
            </w:r>
            <w:proofErr w:type="gramStart"/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расчетных показателей</w:t>
            </w:r>
            <w:proofErr w:type="gramEnd"/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 устанавливающих требования к высоте объекта в соответствии с техническими регламентами.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7666" w:rsidRPr="00B26C68" w:rsidRDefault="00E77666" w:rsidP="00A473C6">
            <w:pPr>
              <w:rPr>
                <w:sz w:val="18"/>
                <w:szCs w:val="18"/>
              </w:rPr>
            </w:pPr>
            <w:r w:rsidRPr="00B26C68">
              <w:rPr>
                <w:sz w:val="18"/>
                <w:szCs w:val="18"/>
              </w:rPr>
              <w:t>Не допускается размещение объектов, причиняющих вред окружающей среде и санитарному благополучию</w:t>
            </w:r>
          </w:p>
        </w:tc>
      </w:tr>
      <w:tr w:rsidR="00E77666" w:rsidRPr="003203DC" w:rsidTr="006A0637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12.0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A0637" w:rsidRPr="003203DC" w:rsidTr="006A0637">
        <w:trPr>
          <w:jc w:val="center"/>
        </w:trPr>
        <w:tc>
          <w:tcPr>
            <w:tcW w:w="86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12.0.2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территории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556A34" w:rsidRPr="003203DC" w:rsidTr="006A0637">
        <w:trPr>
          <w:jc w:val="center"/>
        </w:trPr>
        <w:tc>
          <w:tcPr>
            <w:tcW w:w="86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6A34" w:rsidRPr="00470144" w:rsidRDefault="00556A34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6A34" w:rsidRPr="00556A34" w:rsidRDefault="00556A34" w:rsidP="00A473C6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  <w:r w:rsidRPr="00556A34">
              <w:rPr>
                <w:color w:val="FF0000"/>
                <w:sz w:val="18"/>
                <w:szCs w:val="18"/>
              </w:rPr>
              <w:t>5.1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6A34" w:rsidRPr="00556A34" w:rsidRDefault="00556A34" w:rsidP="00A473C6">
            <w:pPr>
              <w:widowControl w:val="0"/>
              <w:rPr>
                <w:color w:val="FF0000"/>
                <w:sz w:val="18"/>
                <w:szCs w:val="18"/>
              </w:rPr>
            </w:pPr>
            <w:r w:rsidRPr="00556A34">
              <w:rPr>
                <w:color w:val="FF0000"/>
                <w:sz w:val="18"/>
                <w:szCs w:val="18"/>
              </w:rPr>
              <w:t>Спорт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6A34" w:rsidRPr="00470144" w:rsidRDefault="00556A34" w:rsidP="00A473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6A34" w:rsidRPr="00470144" w:rsidRDefault="00556A34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861B7" w:rsidRDefault="00E77666" w:rsidP="00A473C6">
            <w:pPr>
              <w:pStyle w:val="40"/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4861B7"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  <w:t>Вспомогательный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b/>
                <w:i/>
                <w:sz w:val="18"/>
                <w:szCs w:val="18"/>
              </w:rPr>
            </w:pPr>
            <w:r w:rsidRPr="00470144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72718" w:rsidRDefault="00E77666" w:rsidP="00A473C6">
            <w:pPr>
              <w:pStyle w:val="2"/>
              <w:rPr>
                <w:sz w:val="18"/>
                <w:szCs w:val="18"/>
              </w:rPr>
            </w:pPr>
            <w:r w:rsidRPr="0097271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установлению.</w:t>
            </w:r>
          </w:p>
          <w:p w:rsidR="00E77666" w:rsidRPr="00972718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972718">
              <w:rPr>
                <w:rFonts w:ascii="Times New Roman" w:hAnsi="Times New Roman" w:cs="Times New Roman"/>
                <w:i w:val="0"/>
                <w:sz w:val="18"/>
                <w:szCs w:val="18"/>
              </w:rPr>
              <w:t>Предельные (максимальные и минимальные)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Pr="00972718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77666" w:rsidRPr="00972718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>Предельная высота объекта не подлежит установлению.</w:t>
            </w:r>
          </w:p>
          <w:p w:rsidR="00E77666" w:rsidRPr="00972718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Предельная высота объекта определяется индивидуально </w:t>
            </w: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lastRenderedPageBreak/>
              <w:t xml:space="preserve">на основе </w:t>
            </w:r>
            <w:proofErr w:type="gramStart"/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>расчетных показателей</w:t>
            </w:r>
            <w:proofErr w:type="gramEnd"/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 устанавливающих требования к высоте объекта в соответствии с техническими регламентами.</w:t>
            </w:r>
          </w:p>
          <w:p w:rsidR="00E77666" w:rsidRPr="007C4DAF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972718">
              <w:rPr>
                <w:rFonts w:ascii="Times New Roman" w:eastAsia="SimSun" w:hAnsi="Times New Roman" w:cs="Times New Roman"/>
                <w:i w:val="0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7666" w:rsidRPr="00B26C68" w:rsidRDefault="00E77666" w:rsidP="00A473C6">
            <w:pPr>
              <w:rPr>
                <w:sz w:val="18"/>
                <w:szCs w:val="18"/>
              </w:rPr>
            </w:pPr>
            <w:r w:rsidRPr="00B26C68">
              <w:rPr>
                <w:sz w:val="18"/>
                <w:szCs w:val="18"/>
              </w:rPr>
              <w:lastRenderedPageBreak/>
              <w:t>Не допускается размещение объектов, причиняющих вред окружающей среде и санитарному благополучию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12.0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2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заборы, ограды, обозначающие границы земельного участка;</w:t>
            </w:r>
          </w:p>
          <w:p w:rsidR="00E77666" w:rsidRPr="00400C2A" w:rsidRDefault="00E77666" w:rsidP="00A473C6">
            <w:pPr>
              <w:pStyle w:val="a9"/>
              <w:ind w:firstLine="30"/>
              <w:jc w:val="left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помещения для содержания скота и птицы;</w:t>
            </w:r>
          </w:p>
          <w:p w:rsidR="00E77666" w:rsidRPr="00400C2A" w:rsidRDefault="00E77666" w:rsidP="00A473C6">
            <w:pPr>
              <w:pStyle w:val="a9"/>
              <w:ind w:firstLine="30"/>
              <w:jc w:val="left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помещения для производства, хранения и переработки сельхозпродукции;</w:t>
            </w:r>
          </w:p>
          <w:p w:rsidR="00E77666" w:rsidRPr="00400C2A" w:rsidRDefault="00E77666" w:rsidP="00A473C6">
            <w:pPr>
              <w:pStyle w:val="a9"/>
              <w:ind w:firstLine="30"/>
              <w:jc w:val="left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помещения для содержание крупного рогатого скота, иного домашнего скота и птицы;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отдельно стоящие или встроенные в дома гаражи или открытые автостоянки;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хозяйственные постройки;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сады, огороды, палисадники;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теплицы, оранжереи;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индивидуальн</w:t>
            </w:r>
            <w:r w:rsidRPr="00400C2A">
              <w:rPr>
                <w:sz w:val="18"/>
                <w:szCs w:val="18"/>
              </w:rPr>
              <w:t>ые резервуары для хранения воды, скважины для забора воды, индивидуальные колодцы;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индивидуальные бани, надворные туалеты;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оборудование пожарной охраны (гидранты, резервуары);</w:t>
            </w:r>
          </w:p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площадки для сбора мусора.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b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861B7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4861B7"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  <w:t>Условно разрешенный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2.7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Обслуживание </w:t>
            </w:r>
          </w:p>
          <w:p w:rsidR="00E77666" w:rsidRPr="00470144" w:rsidRDefault="00E77666" w:rsidP="00A473C6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жилой </w:t>
            </w:r>
          </w:p>
          <w:p w:rsidR="00E77666" w:rsidRPr="00470144" w:rsidRDefault="00E77666" w:rsidP="00A473C6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застройки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B37D24" w:rsidRDefault="00E77666" w:rsidP="00A473C6">
            <w:pPr>
              <w:pStyle w:val="2"/>
              <w:rPr>
                <w:sz w:val="18"/>
                <w:szCs w:val="18"/>
              </w:rPr>
            </w:pPr>
            <w:r w:rsidRPr="00B37D24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установлению.</w:t>
            </w:r>
          </w:p>
          <w:p w:rsidR="00E77666" w:rsidRPr="00B37D24" w:rsidRDefault="00E77666" w:rsidP="00A473C6">
            <w:pPr>
              <w:tabs>
                <w:tab w:val="left" w:pos="0"/>
              </w:tabs>
              <w:snapToGrid w:val="0"/>
              <w:rPr>
                <w:sz w:val="18"/>
                <w:szCs w:val="18"/>
              </w:rPr>
            </w:pPr>
            <w:r w:rsidRPr="00B37D24">
              <w:rPr>
                <w:sz w:val="18"/>
                <w:szCs w:val="18"/>
              </w:rPr>
              <w:t xml:space="preserve">Предельные (максимальные и минимальные) размеры земельного участка определяются в соответствии с техническими регламентами </w:t>
            </w:r>
            <w:r w:rsidRPr="00B37D24">
              <w:rPr>
                <w:sz w:val="18"/>
                <w:szCs w:val="18"/>
              </w:rPr>
              <w:lastRenderedPageBreak/>
              <w:t>по заданию на проектирование.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B37D24" w:rsidRDefault="00E77666" w:rsidP="00A473C6">
            <w:pPr>
              <w:tabs>
                <w:tab w:val="left" w:pos="0"/>
              </w:tabs>
              <w:snapToGrid w:val="0"/>
              <w:rPr>
                <w:sz w:val="18"/>
                <w:szCs w:val="18"/>
              </w:rPr>
            </w:pPr>
            <w:r w:rsidRPr="00B37D24">
              <w:rPr>
                <w:sz w:val="18"/>
                <w:szCs w:val="18"/>
              </w:rPr>
              <w:t xml:space="preserve">Предельное количество этажей –3 </w:t>
            </w:r>
          </w:p>
          <w:p w:rsidR="00E77666" w:rsidRPr="00C90766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B37D24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:rsidR="00E77666" w:rsidRPr="00917379" w:rsidRDefault="00E77666" w:rsidP="00A473C6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Не допускается размещение объектов, требующих установление СЗЗ, в том числе </w:t>
            </w:r>
            <w:r w:rsidRPr="00470144">
              <w:rPr>
                <w:bCs/>
                <w:sz w:val="18"/>
                <w:szCs w:val="18"/>
              </w:rPr>
              <w:t>размещение в</w:t>
            </w:r>
            <w:r w:rsidRPr="00470144">
              <w:rPr>
                <w:sz w:val="18"/>
                <w:szCs w:val="18"/>
              </w:rPr>
              <w:t xml:space="preserve">о встроенных или пристроенных к дому помещениях магазинов строительных материалов, магазинов с наличием в них </w:t>
            </w:r>
            <w:r w:rsidRPr="00470144">
              <w:rPr>
                <w:sz w:val="18"/>
                <w:szCs w:val="18"/>
              </w:rPr>
              <w:lastRenderedPageBreak/>
              <w:t>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  <w:p w:rsidR="00E77666" w:rsidRPr="00470144" w:rsidRDefault="00E77666" w:rsidP="00A473C6">
            <w:pPr>
              <w:ind w:left="8" w:firstLine="141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требованиям технических регламентов. 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4.4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Магазины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596AC6" w:rsidRDefault="00E77666" w:rsidP="00A473C6">
            <w:pPr>
              <w:tabs>
                <w:tab w:val="left" w:pos="-15"/>
              </w:tabs>
              <w:snapToGrid w:val="0"/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>Предельные размеры земельных участков, предоставляемых гражданам в собственность из находящихся в муниципальной собственности земель Иланского района для строительства (торговых павильонов, магазинов, киосков):</w:t>
            </w:r>
          </w:p>
          <w:p w:rsidR="00E77666" w:rsidRPr="00596AC6" w:rsidRDefault="00E77666" w:rsidP="00A473C6">
            <w:pPr>
              <w:tabs>
                <w:tab w:val="left" w:pos="-15"/>
              </w:tabs>
              <w:suppressAutoHyphens/>
              <w:snapToGrid w:val="0"/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 xml:space="preserve"> максимальный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</w:t>
            </w:r>
            <w:r w:rsidRPr="00596AC6">
              <w:rPr>
                <w:color w:val="000000" w:themeColor="text1"/>
                <w:sz w:val="18"/>
                <w:szCs w:val="18"/>
              </w:rPr>
              <w:t xml:space="preserve">– 1000 </w:t>
            </w:r>
            <w:proofErr w:type="spellStart"/>
            <w:proofErr w:type="gramStart"/>
            <w:r w:rsidRPr="00596AC6">
              <w:rPr>
                <w:color w:val="000000" w:themeColor="text1"/>
                <w:sz w:val="18"/>
                <w:szCs w:val="18"/>
              </w:rPr>
              <w:t>кв.м</w:t>
            </w:r>
            <w:proofErr w:type="spellEnd"/>
            <w:proofErr w:type="gramEnd"/>
            <w:r w:rsidRPr="00596AC6">
              <w:rPr>
                <w:color w:val="000000" w:themeColor="text1"/>
                <w:sz w:val="18"/>
                <w:szCs w:val="18"/>
              </w:rPr>
              <w:t>;</w:t>
            </w:r>
          </w:p>
          <w:p w:rsidR="00E77666" w:rsidRDefault="00E77666" w:rsidP="00A473C6">
            <w:pPr>
              <w:tabs>
                <w:tab w:val="left" w:pos="-15"/>
              </w:tabs>
              <w:snapToGrid w:val="0"/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>минимальный размер</w:t>
            </w:r>
            <w:r>
              <w:rPr>
                <w:sz w:val="18"/>
                <w:szCs w:val="18"/>
              </w:rPr>
              <w:t xml:space="preserve"> земельного участка</w:t>
            </w:r>
            <w:r w:rsidRPr="00596AC6">
              <w:rPr>
                <w:color w:val="000000" w:themeColor="text1"/>
                <w:sz w:val="18"/>
                <w:szCs w:val="18"/>
              </w:rPr>
              <w:t xml:space="preserve"> – 12 </w:t>
            </w:r>
            <w:proofErr w:type="spellStart"/>
            <w:r w:rsidRPr="00596AC6">
              <w:rPr>
                <w:color w:val="000000" w:themeColor="text1"/>
                <w:sz w:val="18"/>
                <w:szCs w:val="18"/>
              </w:rPr>
              <w:t>кв.м</w:t>
            </w:r>
            <w:proofErr w:type="spellEnd"/>
            <w:r w:rsidRPr="00596AC6">
              <w:rPr>
                <w:color w:val="000000" w:themeColor="text1"/>
                <w:sz w:val="18"/>
                <w:szCs w:val="18"/>
              </w:rPr>
              <w:t>.</w:t>
            </w:r>
          </w:p>
          <w:p w:rsidR="00E77666" w:rsidRPr="00596AC6" w:rsidRDefault="00E77666" w:rsidP="00A473C6">
            <w:pPr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>Минимальный отступ от границы земельного участка (красной линии) – 3 м.</w:t>
            </w:r>
          </w:p>
          <w:p w:rsidR="00E77666" w:rsidRPr="00D014E5" w:rsidRDefault="00E77666" w:rsidP="00A473C6">
            <w:pPr>
              <w:tabs>
                <w:tab w:val="left" w:pos="0"/>
              </w:tabs>
              <w:snapToGrid w:val="0"/>
              <w:ind w:firstLine="132"/>
              <w:rPr>
                <w:sz w:val="18"/>
                <w:szCs w:val="18"/>
              </w:rPr>
            </w:pPr>
            <w:r w:rsidRPr="00D014E5">
              <w:rPr>
                <w:sz w:val="18"/>
                <w:szCs w:val="18"/>
              </w:rPr>
              <w:t xml:space="preserve">Предельное количество этажей –3 </w:t>
            </w:r>
          </w:p>
          <w:p w:rsidR="00E77666" w:rsidRPr="00B37D24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B37D24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Не допускается размещение торговых учреждений в санитарно-защитных зонах, установленных в предусмотренном действующим законодательством порядке. </w:t>
            </w:r>
          </w:p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3.7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Религиозное использование</w:t>
            </w:r>
          </w:p>
        </w:tc>
        <w:tc>
          <w:tcPr>
            <w:tcW w:w="1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 xml:space="preserve">Предельные (максимальные и минимальные) размеры земельных участков не </w:t>
            </w:r>
            <w:r w:rsidRPr="009D7B58">
              <w:rPr>
                <w:sz w:val="18"/>
                <w:szCs w:val="18"/>
              </w:rPr>
              <w:lastRenderedPageBreak/>
              <w:t>подлежат установлению</w:t>
            </w:r>
            <w:r>
              <w:rPr>
                <w:sz w:val="18"/>
                <w:szCs w:val="18"/>
              </w:rPr>
              <w:t>.</w:t>
            </w:r>
          </w:p>
          <w:p w:rsidR="00E77666" w:rsidRDefault="00E77666" w:rsidP="00A473C6">
            <w:pPr>
              <w:tabs>
                <w:tab w:val="left" w:pos="0"/>
              </w:tabs>
              <w:snapToGrid w:val="0"/>
              <w:ind w:firstLine="13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 xml:space="preserve">Предельные (максимальные и минимальные) </w:t>
            </w:r>
            <w:r>
              <w:rPr>
                <w:sz w:val="18"/>
                <w:szCs w:val="18"/>
              </w:rPr>
              <w:t>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D014E5" w:rsidRDefault="00E77666" w:rsidP="00A473C6">
            <w:pPr>
              <w:tabs>
                <w:tab w:val="left" w:pos="0"/>
              </w:tabs>
              <w:snapToGrid w:val="0"/>
              <w:ind w:firstLine="132"/>
              <w:rPr>
                <w:sz w:val="18"/>
                <w:szCs w:val="18"/>
              </w:rPr>
            </w:pPr>
            <w:r w:rsidRPr="00D014E5">
              <w:rPr>
                <w:sz w:val="18"/>
                <w:szCs w:val="18"/>
              </w:rPr>
              <w:t xml:space="preserve">Предельное количество этажей –3 </w:t>
            </w:r>
          </w:p>
          <w:p w:rsidR="00E77666" w:rsidRPr="00B37D24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B37D24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2529C6" w:rsidRDefault="00E77666" w:rsidP="00A473C6">
            <w:pPr>
              <w:widowControl w:val="0"/>
              <w:ind w:firstLine="142"/>
              <w:contextualSpacing/>
              <w:jc w:val="both"/>
            </w:pPr>
          </w:p>
        </w:tc>
      </w:tr>
      <w:tr w:rsidR="00E77666" w:rsidRPr="003203DC" w:rsidTr="00A473C6">
        <w:trPr>
          <w:trHeight w:val="1898"/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8.3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Обеспечение внутреннего правопорядка</w:t>
            </w:r>
          </w:p>
        </w:tc>
        <w:tc>
          <w:tcPr>
            <w:tcW w:w="14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2529C6" w:rsidRDefault="00E77666" w:rsidP="00A473C6">
            <w:pPr>
              <w:widowControl w:val="0"/>
              <w:ind w:firstLine="142"/>
              <w:contextualSpacing/>
              <w:jc w:val="both"/>
            </w:pPr>
          </w:p>
        </w:tc>
      </w:tr>
    </w:tbl>
    <w:p w:rsidR="00E77666" w:rsidRDefault="00E77666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Pr="0095640D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 остальной части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6A0637">
        <w:rPr>
          <w:rFonts w:ascii="Times New Roman" w:hAnsi="Times New Roman" w:cs="Times New Roman"/>
          <w:sz w:val="24"/>
          <w:szCs w:val="24"/>
        </w:rPr>
        <w:t xml:space="preserve">Соколовского сельского Совета депутатов Иланского района Красноярского края от 20.06.2013 г. г. № 05-07-Р «Об утверждении «Правил землепользования и застройки Соколовского </w:t>
      </w:r>
      <w:proofErr w:type="gramStart"/>
      <w:r w:rsidR="006A0637">
        <w:rPr>
          <w:rFonts w:ascii="Times New Roman" w:hAnsi="Times New Roman" w:cs="Times New Roman"/>
          <w:sz w:val="24"/>
          <w:szCs w:val="24"/>
        </w:rPr>
        <w:t xml:space="preserve">сельсовета» </w:t>
      </w:r>
      <w:r w:rsidR="00472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оставить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без изменений.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решения возложить на постоянную комиссию </w:t>
      </w:r>
      <w:r w:rsidR="0095640D">
        <w:rPr>
          <w:rFonts w:ascii="Times New Roman" w:hAnsi="Times New Roman" w:cs="Times New Roman"/>
          <w:sz w:val="24"/>
          <w:szCs w:val="24"/>
        </w:rPr>
        <w:t>местному самоуправлению</w:t>
      </w:r>
      <w:r w:rsidR="003205F0">
        <w:rPr>
          <w:rFonts w:ascii="Times New Roman" w:hAnsi="Times New Roman" w:cs="Times New Roman"/>
          <w:sz w:val="24"/>
          <w:szCs w:val="24"/>
        </w:rPr>
        <w:t xml:space="preserve"> и безопасности территории.</w:t>
      </w:r>
      <w:bookmarkStart w:id="0" w:name="_GoBack"/>
      <w:bookmarkEnd w:id="0"/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Решение вступает в силу со дня, следующего за днем опубликования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газете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23F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640D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95640D">
        <w:rPr>
          <w:rFonts w:ascii="Times New Roman" w:hAnsi="Times New Roman"/>
          <w:sz w:val="24"/>
          <w:szCs w:val="24"/>
        </w:rPr>
        <w:t>Иланского</w:t>
      </w:r>
    </w:p>
    <w:p w:rsidR="00F32D67" w:rsidRDefault="0095640D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районного </w:t>
      </w:r>
      <w:r w:rsidR="00F32D6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F32D67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2D67">
        <w:rPr>
          <w:rFonts w:ascii="Times New Roman" w:hAnsi="Times New Roman"/>
          <w:sz w:val="24"/>
          <w:szCs w:val="24"/>
        </w:rPr>
        <w:t xml:space="preserve">  Глава </w:t>
      </w:r>
      <w:r>
        <w:rPr>
          <w:rFonts w:ascii="Times New Roman" w:hAnsi="Times New Roman"/>
          <w:sz w:val="24"/>
          <w:szCs w:val="24"/>
        </w:rPr>
        <w:t>Иланского района</w:t>
      </w:r>
    </w:p>
    <w:p w:rsidR="00F32D67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5640D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95640D">
        <w:rPr>
          <w:rFonts w:ascii="Times New Roman" w:hAnsi="Times New Roman"/>
          <w:sz w:val="24"/>
          <w:szCs w:val="24"/>
        </w:rPr>
        <w:t>Осмоловский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95640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5640D">
        <w:rPr>
          <w:rFonts w:ascii="Times New Roman" w:hAnsi="Times New Roman"/>
          <w:sz w:val="24"/>
          <w:szCs w:val="24"/>
        </w:rPr>
        <w:t>О.А. Альхименко</w:t>
      </w:r>
    </w:p>
    <w:p w:rsidR="00BB70BF" w:rsidRDefault="00BB70BF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Tr="00A010C7">
        <w:tc>
          <w:tcPr>
            <w:tcW w:w="4529" w:type="dxa"/>
          </w:tcPr>
          <w:p w:rsidR="00A010C7" w:rsidRDefault="00A010C7" w:rsidP="00A1395E">
            <w:pPr>
              <w:ind w:right="282"/>
              <w:rPr>
                <w:szCs w:val="24"/>
              </w:rPr>
            </w:pPr>
          </w:p>
        </w:tc>
      </w:tr>
    </w:tbl>
    <w:p w:rsidR="00A010C7" w:rsidRDefault="00A010C7" w:rsidP="00A1395E">
      <w:pPr>
        <w:ind w:right="282"/>
        <w:rPr>
          <w:szCs w:val="24"/>
        </w:rPr>
      </w:pPr>
    </w:p>
    <w:p w:rsidR="00A010C7" w:rsidRPr="00F32D67" w:rsidRDefault="00A010C7" w:rsidP="00A1395E">
      <w:pPr>
        <w:ind w:right="282"/>
        <w:rPr>
          <w:szCs w:val="24"/>
        </w:rPr>
      </w:pPr>
      <w:r>
        <w:rPr>
          <w:rFonts w:ascii="Times New Roman" w:hAnsi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F32D67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205F0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56A34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55458"/>
    <w:rsid w:val="00A62909"/>
    <w:rsid w:val="00A84B31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93646"/>
    <w:rsid w:val="00C9467F"/>
    <w:rsid w:val="00CB0FFD"/>
    <w:rsid w:val="00CB64C0"/>
    <w:rsid w:val="00CC0E1B"/>
    <w:rsid w:val="00CD08B4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219AC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E65B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</cp:revision>
  <cp:lastPrinted>2024-07-26T07:08:00Z</cp:lastPrinted>
  <dcterms:created xsi:type="dcterms:W3CDTF">2024-08-09T07:11:00Z</dcterms:created>
  <dcterms:modified xsi:type="dcterms:W3CDTF">2025-01-21T02:35:00Z</dcterms:modified>
</cp:coreProperties>
</file>